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87F3A" w14:textId="77777777" w:rsidR="0090764F" w:rsidRDefault="00000000">
      <w:pPr>
        <w:jc w:val="center"/>
      </w:pPr>
      <w:r>
        <w:rPr>
          <w:b/>
          <w:color w:val="17365D"/>
          <w:sz w:val="36"/>
        </w:rPr>
        <w:t>MASTER SALE AND PURCHASE AGREEMENT</w:t>
      </w:r>
    </w:p>
    <w:p w14:paraId="3E058200" w14:textId="77777777" w:rsidR="0090764F" w:rsidRDefault="00000000">
      <w:pPr>
        <w:jc w:val="center"/>
      </w:pPr>
      <w:r>
        <w:rPr>
          <w:b/>
          <w:sz w:val="24"/>
        </w:rPr>
        <w:t>Imported Natural Stone and Marble Slabs</w:t>
      </w:r>
    </w:p>
    <w:p w14:paraId="7459211A" w14:textId="77777777" w:rsidR="0090764F" w:rsidRDefault="00000000">
      <w:pPr>
        <w:jc w:val="center"/>
      </w:pPr>
      <w:r>
        <w:rPr>
          <w:b/>
          <w:color w:val="7F6000"/>
          <w:sz w:val="21"/>
        </w:rPr>
        <w:t>SCENARIO 1: SELLER (ETO IBS LLC d/b/a STONEGATE INTERNATIONAL) AS IMPORTER OF RECORD</w:t>
      </w:r>
    </w:p>
    <w:tbl>
      <w:tblPr>
        <w:tblW w:w="0" w:type="auto"/>
        <w:tblLook w:val="04A0" w:firstRow="1" w:lastRow="0" w:firstColumn="1" w:lastColumn="0" w:noHBand="0" w:noVBand="1"/>
      </w:tblPr>
      <w:tblGrid>
        <w:gridCol w:w="10166"/>
      </w:tblGrid>
      <w:tr w:rsidR="0090764F" w14:paraId="343ADE8B" w14:textId="77777777">
        <w:tc>
          <w:tcPr>
            <w:tcW w:w="10166" w:type="dxa"/>
            <w:shd w:val="clear" w:color="auto" w:fill="FFF2CC"/>
          </w:tcPr>
          <w:p w14:paraId="1A57C55A" w14:textId="77777777" w:rsidR="0090764F" w:rsidRDefault="00000000">
            <w:r>
              <w:rPr>
                <w:b/>
                <w:color w:val="9C0006"/>
              </w:rPr>
              <w:t xml:space="preserve">IMPORTANT DRAFT NOTICE. </w:t>
            </w:r>
            <w:r>
              <w:t>This template allocates commercial and U.S./Texas import-compliance responsibilities but is not legal, customs-broker, tax, insurance, or banking advice. Complete all bracketed fields and obtain review by Texas commercial counsel, the designated licensed U.S. customs broker, and the issuing/advising bank before signature or use in a letter of credit.</w:t>
            </w:r>
          </w:p>
        </w:tc>
      </w:tr>
    </w:tbl>
    <w:p w14:paraId="517853F6" w14:textId="77777777" w:rsidR="0090764F" w:rsidRDefault="0090764F">
      <w:pPr>
        <w:spacing w:after="20"/>
      </w:pPr>
    </w:p>
    <w:tbl>
      <w:tblPr>
        <w:tblStyle w:val="TableGrid"/>
        <w:tblW w:w="0" w:type="auto"/>
        <w:jc w:val="center"/>
        <w:tblLook w:val="04A0" w:firstRow="1" w:lastRow="0" w:firstColumn="1" w:lastColumn="0" w:noHBand="0" w:noVBand="1"/>
      </w:tblPr>
      <w:tblGrid>
        <w:gridCol w:w="5083"/>
        <w:gridCol w:w="5083"/>
      </w:tblGrid>
      <w:tr w:rsidR="0090764F" w14:paraId="69CE8044" w14:textId="77777777">
        <w:trPr>
          <w:jc w:val="center"/>
        </w:trPr>
        <w:tc>
          <w:tcPr>
            <w:tcW w:w="5083" w:type="dxa"/>
            <w:shd w:val="clear" w:color="auto" w:fill="EAF0F7"/>
            <w:vAlign w:val="center"/>
          </w:tcPr>
          <w:p w14:paraId="1039D990" w14:textId="77777777" w:rsidR="0090764F" w:rsidRDefault="00000000">
            <w:r>
              <w:rPr>
                <w:b/>
                <w:color w:val="17365D"/>
                <w:sz w:val="17"/>
              </w:rPr>
              <w:t>Effective Date</w:t>
            </w:r>
          </w:p>
        </w:tc>
        <w:tc>
          <w:tcPr>
            <w:tcW w:w="5083" w:type="dxa"/>
            <w:vAlign w:val="center"/>
          </w:tcPr>
          <w:p w14:paraId="165C30F2" w14:textId="77777777" w:rsidR="0090764F" w:rsidRDefault="00000000">
            <w:r>
              <w:rPr>
                <w:sz w:val="17"/>
              </w:rPr>
              <w:t>[Month Day, 2026]</w:t>
            </w:r>
          </w:p>
        </w:tc>
      </w:tr>
      <w:tr w:rsidR="0090764F" w14:paraId="565F63DF" w14:textId="77777777">
        <w:trPr>
          <w:jc w:val="center"/>
        </w:trPr>
        <w:tc>
          <w:tcPr>
            <w:tcW w:w="5083" w:type="dxa"/>
            <w:shd w:val="clear" w:color="auto" w:fill="EAF0F7"/>
            <w:vAlign w:val="center"/>
          </w:tcPr>
          <w:p w14:paraId="321B8E11" w14:textId="77777777" w:rsidR="0090764F" w:rsidRDefault="00000000">
            <w:r>
              <w:rPr>
                <w:b/>
                <w:color w:val="17365D"/>
                <w:sz w:val="17"/>
              </w:rPr>
              <w:t>Seller</w:t>
            </w:r>
          </w:p>
        </w:tc>
        <w:tc>
          <w:tcPr>
            <w:tcW w:w="5083" w:type="dxa"/>
            <w:vAlign w:val="center"/>
          </w:tcPr>
          <w:p w14:paraId="6625E216" w14:textId="4563BDFB" w:rsidR="0090764F" w:rsidRDefault="001A488A">
            <w:r>
              <w:rPr>
                <w:sz w:val="17"/>
              </w:rPr>
              <w:t>A</w:t>
            </w:r>
            <w:r w:rsidR="00000000">
              <w:rPr>
                <w:sz w:val="17"/>
              </w:rPr>
              <w:t xml:space="preserve"> Texas limited liability company, Stonegate International</w:t>
            </w:r>
            <w:r>
              <w:rPr>
                <w:sz w:val="17"/>
              </w:rPr>
              <w:t xml:space="preserve"> Trade</w:t>
            </w:r>
            <w:r w:rsidR="00000000">
              <w:rPr>
                <w:sz w:val="17"/>
              </w:rPr>
              <w:t>, with its principal place of business at [full address] (“Seller”).</w:t>
            </w:r>
          </w:p>
        </w:tc>
      </w:tr>
      <w:tr w:rsidR="0090764F" w14:paraId="3AD9944B" w14:textId="77777777">
        <w:trPr>
          <w:jc w:val="center"/>
        </w:trPr>
        <w:tc>
          <w:tcPr>
            <w:tcW w:w="5083" w:type="dxa"/>
            <w:shd w:val="clear" w:color="auto" w:fill="EAF0F7"/>
            <w:vAlign w:val="center"/>
          </w:tcPr>
          <w:p w14:paraId="248741D9" w14:textId="77777777" w:rsidR="0090764F" w:rsidRDefault="00000000">
            <w:r>
              <w:rPr>
                <w:b/>
                <w:color w:val="17365D"/>
                <w:sz w:val="17"/>
              </w:rPr>
              <w:t>Buyer</w:t>
            </w:r>
          </w:p>
        </w:tc>
        <w:tc>
          <w:tcPr>
            <w:tcW w:w="5083" w:type="dxa"/>
            <w:vAlign w:val="center"/>
          </w:tcPr>
          <w:p w14:paraId="73F5E185" w14:textId="77777777" w:rsidR="0090764F" w:rsidRDefault="00000000">
            <w:r>
              <w:rPr>
                <w:sz w:val="17"/>
              </w:rPr>
              <w:t>[Full legal name], a [State] [entity type], with its principal place of business at [full address] (“Buyer”).</w:t>
            </w:r>
          </w:p>
        </w:tc>
      </w:tr>
      <w:tr w:rsidR="0090764F" w14:paraId="14E9C83C" w14:textId="77777777">
        <w:trPr>
          <w:jc w:val="center"/>
        </w:trPr>
        <w:tc>
          <w:tcPr>
            <w:tcW w:w="5083" w:type="dxa"/>
            <w:shd w:val="clear" w:color="auto" w:fill="EAF0F7"/>
            <w:vAlign w:val="center"/>
          </w:tcPr>
          <w:p w14:paraId="481AC727" w14:textId="77777777" w:rsidR="0090764F" w:rsidRDefault="00000000">
            <w:r>
              <w:rPr>
                <w:b/>
                <w:color w:val="17365D"/>
                <w:sz w:val="17"/>
              </w:rPr>
              <w:t>Agreement Purpose</w:t>
            </w:r>
          </w:p>
        </w:tc>
        <w:tc>
          <w:tcPr>
            <w:tcW w:w="5083" w:type="dxa"/>
            <w:vAlign w:val="center"/>
          </w:tcPr>
          <w:p w14:paraId="46570F11" w14:textId="77777777" w:rsidR="0090764F" w:rsidRDefault="00000000">
            <w:r>
              <w:rPr>
                <w:sz w:val="17"/>
              </w:rPr>
              <w:t>A binding master agreement for the sale, ocean shipment, importation, and delivery of natural stone and marble slab products described in executed Purchase Orders (“POs”).</w:t>
            </w:r>
          </w:p>
        </w:tc>
      </w:tr>
    </w:tbl>
    <w:p w14:paraId="67B35D18" w14:textId="77777777" w:rsidR="0090764F" w:rsidRDefault="00000000">
      <w:r>
        <w:t>Seller and Buyer are each a “Party” and collectively the “Parties.” This Agreement becomes binding when signed by both Parties. A PO becomes binding only when signed or otherwise expressly accepted in writing by both Parties.</w:t>
      </w:r>
    </w:p>
    <w:p w14:paraId="67073D81" w14:textId="77777777" w:rsidR="0090764F" w:rsidRDefault="00000000">
      <w:pPr>
        <w:pStyle w:val="Heading1"/>
        <w:pBdr>
          <w:bottom w:val="single" w:sz="12" w:space="1" w:color="17365D"/>
        </w:pBdr>
        <w:spacing w:before="260" w:after="120"/>
      </w:pPr>
      <w:r>
        <w:rPr>
          <w:color w:val="17365D"/>
        </w:rPr>
        <w:t>1. Scope, Definitions, and Order Priority</w:t>
      </w:r>
    </w:p>
    <w:p w14:paraId="1BCF6B43" w14:textId="77777777" w:rsidR="0090764F" w:rsidRDefault="00000000">
      <w:pPr>
        <w:spacing w:before="100" w:after="80"/>
      </w:pPr>
      <w:r>
        <w:rPr>
          <w:b/>
        </w:rPr>
        <w:t xml:space="preserve">1.1 Scope. </w:t>
      </w:r>
      <w:r>
        <w:t>This Agreement governs all POs for architectural-grade natural stone, marble, travertine, and other expressly specified stone products (collectively, “Goods”). No minimum volume is committed unless a PO states a binding minimum purchase quantity.</w:t>
      </w:r>
    </w:p>
    <w:p w14:paraId="7F52A44E" w14:textId="77777777" w:rsidR="0090764F" w:rsidRDefault="00000000">
      <w:pPr>
        <w:spacing w:before="100" w:after="80"/>
      </w:pPr>
      <w:r>
        <w:rPr>
          <w:b/>
        </w:rPr>
        <w:t xml:space="preserve">1.2 Definitions. </w:t>
      </w:r>
      <w:r>
        <w:t>“Importer of Record” or “IOR” means the party identified in the applicable PO that is responsible for the customs entry. “Government Charges” means duties, tariffs, antidumping or countervailing duties, taxes, merchandise processing fees, harbor maintenance fees, customs-broker fees, examinations, storage, demurrage, detention, redelivery, re-export, destruction, fines, and penalties. “Customs Release” means release of the relevant shipment by U.S. Customs and Border Protection (“CBP”), subject to any post-entry rights or actions.</w:t>
      </w:r>
    </w:p>
    <w:p w14:paraId="207642AB" w14:textId="77777777" w:rsidR="0090764F" w:rsidRDefault="00000000">
      <w:pPr>
        <w:spacing w:before="100" w:after="80"/>
      </w:pPr>
      <w:r>
        <w:rPr>
          <w:b/>
        </w:rPr>
        <w:t xml:space="preserve">1.3 Order of Precedence. </w:t>
      </w:r>
      <w:r>
        <w:t>For a conflict, the following order controls: (a) a signed PO expressly stating that it overrides a provision; (b) this Agreement; (c) Exhibit B; (d) Exhibit C; and (e) other documents. Neither a bill of lading nor an invoice changes this Agreement unless the Parties sign an amendment.</w:t>
      </w:r>
    </w:p>
    <w:p w14:paraId="73E8572F" w14:textId="77777777" w:rsidR="0090764F" w:rsidRDefault="00000000">
      <w:pPr>
        <w:spacing w:before="100" w:after="80"/>
      </w:pPr>
      <w:r>
        <w:rPr>
          <w:b/>
        </w:rPr>
        <w:t xml:space="preserve">1.4 No Unstated Reliance. </w:t>
      </w:r>
      <w:r>
        <w:t>Each Party acknowledges that stone is a natural product subject to inherent color, veining, fissures, and texture variation. Only written specifications, approved samples, and tolerances in the PO and Exhibit C are binding quality standards.</w:t>
      </w:r>
    </w:p>
    <w:p w14:paraId="3365A7B4" w14:textId="77777777" w:rsidR="0090764F" w:rsidRDefault="00000000">
      <w:pPr>
        <w:pStyle w:val="Heading1"/>
        <w:pBdr>
          <w:bottom w:val="single" w:sz="12" w:space="1" w:color="17365D"/>
        </w:pBdr>
        <w:spacing w:before="260" w:after="120"/>
      </w:pPr>
      <w:r>
        <w:rPr>
          <w:color w:val="17365D"/>
        </w:rPr>
        <w:t>2. Purchase Orders, Product Data, and Pricing</w:t>
      </w:r>
    </w:p>
    <w:p w14:paraId="5DDF6128" w14:textId="77777777" w:rsidR="0090764F" w:rsidRDefault="00000000">
      <w:pPr>
        <w:spacing w:before="100" w:after="80"/>
      </w:pPr>
      <w:r>
        <w:rPr>
          <w:b/>
        </w:rPr>
        <w:t xml:space="preserve">2.1 PO Content. </w:t>
      </w:r>
      <w:r>
        <w:t>Each PO must identify the Goods by SKU; commercial/geological stone name; quarry/manufacturer; actual country of origin; named port of loading; HTSUS classification proposed by the IOR or broker; thickness; finish; dimensions; slab, bundle, crate, and container counts; net and gross weights; square footage; unit price; total price; currency; latest shipment date; delivery window; IOR; consignee; and allocation of destination charges.</w:t>
      </w:r>
    </w:p>
    <w:p w14:paraId="5D9F2148" w14:textId="77777777" w:rsidR="0090764F" w:rsidRDefault="00000000">
      <w:pPr>
        <w:spacing w:before="100" w:after="80"/>
      </w:pPr>
      <w:r>
        <w:rPr>
          <w:b/>
        </w:rPr>
        <w:t xml:space="preserve">2.2 Classification and Origin Data. </w:t>
      </w:r>
      <w:r>
        <w:t>Seller shall supply accurate and complete product, quarry/manufacturer, processing, composition, origin, valuation, and production information reasonably requested by the IOR or customs broker. The IOR and its customs broker retain final authority for the tariff classification, entered value, country-of-origin declaration, entry type, and customs filing. Seller shall not represent any classification, origin, preferential claim, or duty rate as guaranteed unless a PO expressly says so and the supporting legal analysis is attached.</w:t>
      </w:r>
    </w:p>
    <w:p w14:paraId="3CCCBA9F" w14:textId="77777777" w:rsidR="0090764F" w:rsidRDefault="00000000">
      <w:pPr>
        <w:spacing w:before="100" w:after="80"/>
      </w:pPr>
      <w:r>
        <w:rPr>
          <w:b/>
        </w:rPr>
        <w:lastRenderedPageBreak/>
        <w:t xml:space="preserve">2.3 Price and Adjustments. </w:t>
      </w:r>
      <w:r>
        <w:t>The PO fixes the unit price and total base price for the specified Goods. The PO shall separately state whether price includes international freight, marine insurance, destination terminal charges, Government Charges, domestic drayage, unloading, and sales/use tax. No charge is recoverable unless stated in the PO or approved in writing under Section 2.4.</w:t>
      </w:r>
    </w:p>
    <w:p w14:paraId="15203C15" w14:textId="77777777" w:rsidR="0090764F" w:rsidRDefault="00000000">
      <w:pPr>
        <w:spacing w:before="100" w:after="80"/>
      </w:pPr>
      <w:r>
        <w:rPr>
          <w:b/>
        </w:rPr>
        <w:t xml:space="preserve">2.4 Operational Contingency. </w:t>
      </w:r>
      <w:r>
        <w:t>If elected in a PO, an operational contingency may not exceed [10]% of the base Goods price. It is a capped, documented reimbursement allowance, not a deposit or undisclosed price increase. Seller shall provide supporting third-party invoices or carrier/terminal notices, apply the amount only to the approved categories stated in the PO, and deliver a final accounting within ten (10) business days after the later of Customs Release or final destination-charge invoice. Seller shall credit or refund unused funds within five (5) business days after that accounting. Amounts above the cap require Buyer’s prior written approval.</w:t>
      </w:r>
    </w:p>
    <w:p w14:paraId="10ADAEB3" w14:textId="77777777" w:rsidR="0090764F" w:rsidRDefault="00000000">
      <w:pPr>
        <w:spacing w:before="100" w:after="80"/>
      </w:pPr>
      <w:r>
        <w:rPr>
          <w:b/>
        </w:rPr>
        <w:t xml:space="preserve">2.5 Taxes. </w:t>
      </w:r>
      <w:r>
        <w:t>Buyer shall pay applicable sales, use, excise, or similar transaction taxes imposed on the domestic sale, excluding taxes measured by Seller’s net income, unless Buyer timely provides a valid exemption or resale certificate accepted by the applicable taxing authority. Customs duties and fees are allocated only as expressly stated in the applicable IOR provisions and PO.</w:t>
      </w:r>
    </w:p>
    <w:p w14:paraId="7213BDED" w14:textId="77777777" w:rsidR="0090764F" w:rsidRDefault="00000000">
      <w:pPr>
        <w:pStyle w:val="Heading1"/>
        <w:pBdr>
          <w:bottom w:val="single" w:sz="12" w:space="1" w:color="17365D"/>
        </w:pBdr>
        <w:spacing w:before="260" w:after="120"/>
      </w:pPr>
      <w:r>
        <w:rPr>
          <w:color w:val="17365D"/>
        </w:rPr>
        <w:t>3. Payment and Trade Finance</w:t>
      </w:r>
    </w:p>
    <w:p w14:paraId="7A6A1013" w14:textId="77777777" w:rsidR="0090764F" w:rsidRDefault="00000000">
      <w:pPr>
        <w:spacing w:before="100" w:after="80"/>
      </w:pPr>
      <w:r>
        <w:rPr>
          <w:b/>
        </w:rPr>
        <w:t xml:space="preserve">3.1 Deposit. </w:t>
      </w:r>
      <w:r>
        <w:t>Unless a PO states otherwise, Buyer shall pay a deposit equal to twenty percent (20%) of the total contract value within [two] business days after execution of the PO. The deposit is paid to Seller, not into escrow, unless the Parties execute a separate third-party escrow agreement naming the escrow holder and release conditions.</w:t>
      </w:r>
    </w:p>
    <w:p w14:paraId="51F7A728" w14:textId="77777777" w:rsidR="0090764F" w:rsidRDefault="00000000">
      <w:pPr>
        <w:spacing w:before="100" w:after="80"/>
      </w:pPr>
      <w:r>
        <w:rPr>
          <w:b/>
        </w:rPr>
        <w:t xml:space="preserve">3.2 Deposit Refunds and Setoff. </w:t>
      </w:r>
      <w:r>
        <w:t>The deposit is non-refundable only to the extent Seller has incurred documented, nonrecoverable costs after Buyer’s uncured breach. It shall be refunded, less documented and contractually permitted amounts, if Seller materially breaches; the Goods fail the agreed inspection; Seller cannot lawfully export or import due to a condition within Seller’s control; or the PO is terminated under Section 9. It may be applied against the final invoice.</w:t>
      </w:r>
    </w:p>
    <w:p w14:paraId="24D485EB" w14:textId="77777777" w:rsidR="0090764F" w:rsidRDefault="00000000">
      <w:pPr>
        <w:spacing w:before="100" w:after="80"/>
      </w:pPr>
      <w:r>
        <w:rPr>
          <w:b/>
        </w:rPr>
        <w:t xml:space="preserve">3.3 Banking Instrument. </w:t>
      </w:r>
      <w:r>
        <w:t>If a PO requires bank financing, it shall specify either: (a) an irrevocable documentary letter of credit payable at sight; or (b) an irrevocable standby letter of credit. The Parties shall not use the terms interchangeably. The PO shall attach bank-approved language identifying the issuing bank, advising/confirming bank, beneficiary, amount, currency, expiry, latest shipment date, place of presentation, governing rules (including UCP 600 or ISP98 as applicable), permitted partial shipments/transshipment, required documents, discrepancy procedure, and draw conditions.</w:t>
      </w:r>
    </w:p>
    <w:p w14:paraId="082260CA" w14:textId="77777777" w:rsidR="0090764F" w:rsidRDefault="00000000">
      <w:pPr>
        <w:spacing w:before="100" w:after="80"/>
      </w:pPr>
      <w:r>
        <w:rPr>
          <w:b/>
        </w:rPr>
        <w:t xml:space="preserve">3.4 Documentary Presentation. </w:t>
      </w:r>
      <w:r>
        <w:t>Unless the applicable bank instrument states otherwise, Seller’s presentation package shall include: clean shipped-on-board ocean bill of lading marked freight prepaid; commercial invoice; detailed packing list; marine cargo insurance certificate where Seller is required to insure; SGS or equivalent inspection certificate if elected; certificate or declaration of origin where required; wood-packaging compliance evidence where wood packaging is used; and any PO-specific documents. Bank-document requirements do not replace governmental entry requirements.</w:t>
      </w:r>
    </w:p>
    <w:p w14:paraId="29E7E5BF" w14:textId="77777777" w:rsidR="0090764F" w:rsidRDefault="00000000">
      <w:pPr>
        <w:pStyle w:val="Heading1"/>
        <w:pBdr>
          <w:bottom w:val="single" w:sz="12" w:space="1" w:color="17365D"/>
        </w:pBdr>
        <w:spacing w:before="260" w:after="120"/>
      </w:pPr>
      <w:r>
        <w:rPr>
          <w:color w:val="17365D"/>
        </w:rPr>
        <w:t>4. Incoterms, Shipment, Risk, Title, and Delivery</w:t>
      </w:r>
    </w:p>
    <w:p w14:paraId="4065AB5A" w14:textId="77777777" w:rsidR="0090764F" w:rsidRDefault="00000000">
      <w:pPr>
        <w:spacing w:before="100" w:after="80"/>
      </w:pPr>
      <w:r>
        <w:rPr>
          <w:b/>
        </w:rPr>
        <w:t xml:space="preserve">4.1 Delivery Rule. </w:t>
      </w:r>
      <w:r>
        <w:t>Unless a PO expressly states otherwise, shipment is CIF Port of Houston, Texas, Incoterms® 2020, from the named Turkish port of loading stated in the PO. Seller shall contract and pay for carriage to the named destination port and procure the insurance required by the CIF rule. CIF applies only to the allocation of obligations covered by Incoterms® 2020; this Agreement controls customs, title, payment, quality, indemnity, and dispute terms.</w:t>
      </w:r>
    </w:p>
    <w:p w14:paraId="176B62CE" w14:textId="77777777" w:rsidR="0090764F" w:rsidRDefault="00000000">
      <w:pPr>
        <w:spacing w:before="100" w:after="80"/>
      </w:pPr>
      <w:r>
        <w:rPr>
          <w:b/>
        </w:rPr>
        <w:t xml:space="preserve">4.2 Risk of Loss. </w:t>
      </w:r>
      <w:r>
        <w:t>Under CIF, risk of loss or damage transfers from Seller to Buyer when the Goods are loaded on board the vessel at the named port of loading, except that a Party remains liable for loss caused by its breach, inaccurate documents, inadequate packing, noncompliant wood packaging, fraud, or failure to perform its expressly allocated obligations.</w:t>
      </w:r>
    </w:p>
    <w:p w14:paraId="0DBA3AC7" w14:textId="77777777" w:rsidR="0090764F" w:rsidRDefault="00000000">
      <w:pPr>
        <w:spacing w:before="100" w:after="80"/>
      </w:pPr>
      <w:r>
        <w:rPr>
          <w:b/>
        </w:rPr>
        <w:t xml:space="preserve">4.3 Title. </w:t>
      </w:r>
      <w:r>
        <w:t>Legal title to the Goods passes to Buyer only upon the later of: (a) Customs Release; and (b) Seller’s receipt of all amounts then due under the applicable PO, except that title shall not pass to Buyer before payment if prohibited by law. Title transfer does not alter the risk transfer in Section 4.2.</w:t>
      </w:r>
    </w:p>
    <w:p w14:paraId="3C6D91C6" w14:textId="77777777" w:rsidR="0090764F" w:rsidRDefault="00000000">
      <w:pPr>
        <w:spacing w:before="100" w:after="80"/>
      </w:pPr>
      <w:r>
        <w:rPr>
          <w:b/>
        </w:rPr>
        <w:t xml:space="preserve">4.4 Destination Costs and Timing. </w:t>
      </w:r>
      <w:r>
        <w:t xml:space="preserve">The PO shall expressly allocate terminal handling, chassis, demurrage, detention, customs examination, storage, drayage, unloading, and final-delivery costs. Each Party shall act promptly to avoid avoidable </w:t>
      </w:r>
      <w:r>
        <w:lastRenderedPageBreak/>
        <w:t>destination charges. A Party may not charge the other for costs caused by its own delay, inaccurate instructions, missing information, or breach.</w:t>
      </w:r>
    </w:p>
    <w:p w14:paraId="527E3C95" w14:textId="77777777" w:rsidR="0090764F" w:rsidRDefault="00000000">
      <w:pPr>
        <w:spacing w:before="100" w:after="80"/>
      </w:pPr>
      <w:r>
        <w:rPr>
          <w:b/>
        </w:rPr>
        <w:t xml:space="preserve">4.5 Verified Mass and Cargo Securement. </w:t>
      </w:r>
      <w:r>
        <w:t>Before loading and before issuance of the ocean bill of lading, Seller shall provide accurate verified gross mass; container tare weight; cargo net weight; package weights; center-of-gravity information; container, seal, and package marks; and cargo-securement information. Seller shall ensure that the Goods are professionally packed and secured for ocean and inland transport and that all declared weights are accurate.</w:t>
      </w:r>
    </w:p>
    <w:p w14:paraId="4FE7104C" w14:textId="77777777" w:rsidR="0090764F" w:rsidRDefault="00000000">
      <w:pPr>
        <w:spacing w:before="100" w:after="80"/>
      </w:pPr>
      <w:r>
        <w:rPr>
          <w:b/>
        </w:rPr>
        <w:t xml:space="preserve">4.6 Texas Drayage Compliance. </w:t>
      </w:r>
      <w:r>
        <w:t>No container shall be released for Texas inland movement unless the designated dray carrier has confirmed that the actual gross and axle weights, axle configuration, chassis, cargo securement, route, bridge/weight restrictions, and required permits permit lawful movement. The Party arranging drayage shall obtain required carrier confirmations and permits. No stated stone payload, including 21,500 kg or 47,400 lb, is a guarantee of lawful Texas movement without this verification.</w:t>
      </w:r>
    </w:p>
    <w:p w14:paraId="6E690A39" w14:textId="77777777" w:rsidR="0090764F" w:rsidRDefault="00000000">
      <w:pPr>
        <w:pStyle w:val="Heading1"/>
        <w:pBdr>
          <w:bottom w:val="single" w:sz="12" w:space="1" w:color="17365D"/>
        </w:pBdr>
        <w:spacing w:before="260" w:after="120"/>
      </w:pPr>
      <w:r>
        <w:rPr>
          <w:color w:val="17365D"/>
        </w:rPr>
        <w:t>5. Quality, Inspection, Marking, and Packaging</w:t>
      </w:r>
    </w:p>
    <w:p w14:paraId="4EBA2C02" w14:textId="77777777" w:rsidR="0090764F" w:rsidRDefault="00000000">
      <w:pPr>
        <w:spacing w:before="100" w:after="80"/>
      </w:pPr>
      <w:r>
        <w:rPr>
          <w:b/>
        </w:rPr>
        <w:t xml:space="preserve">5.1 Pre-Shipment Inspection. </w:t>
      </w:r>
      <w:r>
        <w:t>If elected in the PO, each container shall be inspected before sealing by SGS or an equivalent independent, internationally recognized inspection provider. The inspection shall verify count, dimensions, agreed finish, thickness of 20 mm ± [1 mm] or other PO tolerance, visible condition, packaging, container condition, cargo securement, and conformance to the PO and Exhibit C. Seller shall provide the report and loading photographs before shipment.</w:t>
      </w:r>
    </w:p>
    <w:p w14:paraId="573739F1" w14:textId="77777777" w:rsidR="0090764F" w:rsidRDefault="00000000">
      <w:pPr>
        <w:spacing w:before="100" w:after="80"/>
      </w:pPr>
      <w:r>
        <w:rPr>
          <w:b/>
        </w:rPr>
        <w:t xml:space="preserve">5.2 Effect of Inspection. </w:t>
      </w:r>
      <w:r>
        <w:t>A nonconforming report requires Seller to correct the nonconformity before shipment unless Buyer gives written waiver. Inspection is a contractual quality condition only; it is not a customs classification, admissibility, origin, valuation, CBP, APHIS, or other governmental clearance.</w:t>
      </w:r>
    </w:p>
    <w:p w14:paraId="7CB6BDFF" w14:textId="77777777" w:rsidR="0090764F" w:rsidRDefault="00000000">
      <w:pPr>
        <w:spacing w:before="100" w:after="80"/>
      </w:pPr>
      <w:r>
        <w:rPr>
          <w:b/>
        </w:rPr>
        <w:t xml:space="preserve">5.3 Country-of-Origin Marking. </w:t>
      </w:r>
      <w:r>
        <w:t>Seller shall ensure that each article, bundle, crate, or usual container is marked before export with the English name of the actual country of origin as required by applicable U.S. law. Marking shall be conspicuous, legible, indelible, and permanent to the extent the article or container permits. If individual marking is impracticable or a lawful exception applies, Seller shall mark the applicable container and provide the facts and records needed for the IOR to evaluate the exception. Seller shall not label the Goods “Turkey,” “Turkish,” or similarly unless the Goods legally originate in Türkiye/Turkey.</w:t>
      </w:r>
    </w:p>
    <w:p w14:paraId="09A3CB9D" w14:textId="77777777" w:rsidR="0090764F" w:rsidRDefault="00000000">
      <w:pPr>
        <w:spacing w:before="100" w:after="80"/>
      </w:pPr>
      <w:r>
        <w:rPr>
          <w:b/>
        </w:rPr>
        <w:t xml:space="preserve">5.4 Wood Packaging Material. </w:t>
      </w:r>
      <w:r>
        <w:t>All solid-wood packaging material, including pallets, dunnage, blocking, bracing, and timber A-frames, shall be pest-free; comply with ISPM 15 and applicable APHIS requirements; be treated and properly marked by an authorized treatment provider; and be free of bark, live pests, soil, plant debris, and treatment or marking deficiencies. At Buyer’s written request, Seller shall use metal A-frames or other agreed non-solid-wood packaging.</w:t>
      </w:r>
    </w:p>
    <w:p w14:paraId="6BC6EFC5" w14:textId="77777777" w:rsidR="0090764F" w:rsidRDefault="00000000">
      <w:pPr>
        <w:spacing w:before="100" w:after="80"/>
      </w:pPr>
      <w:r>
        <w:rPr>
          <w:b/>
        </w:rPr>
        <w:t xml:space="preserve">5.5 Acceptance and Claims. </w:t>
      </w:r>
      <w:r>
        <w:t>Buyer shall inspect promptly after delivery. Buyer shall provide written notice with reasonable photographs and delivery exceptions for visible shortage, breakage, or nonconformity within five (5) business days after delivery. Buyer shall report latent defects within thirty (30) days after discovery, but no later than [ninety (90)] days after delivery. These time limits do not limit claims involving fraud, willful misconduct, customs noncompliance, incorrect origin, restricted merchandise, or liabilities that cannot lawfully be waived.</w:t>
      </w:r>
    </w:p>
    <w:p w14:paraId="49E93913" w14:textId="77777777" w:rsidR="0090764F" w:rsidRDefault="00000000">
      <w:pPr>
        <w:pStyle w:val="Heading1"/>
        <w:pBdr>
          <w:bottom w:val="single" w:sz="12" w:space="1" w:color="17365D"/>
        </w:pBdr>
        <w:spacing w:before="260" w:after="120"/>
      </w:pPr>
      <w:r>
        <w:rPr>
          <w:color w:val="17365D"/>
        </w:rPr>
        <w:t>6. Import Compliance, Records, and Cooperation</w:t>
      </w:r>
    </w:p>
    <w:p w14:paraId="133F65F2" w14:textId="77777777" w:rsidR="0090764F" w:rsidRDefault="00000000">
      <w:pPr>
        <w:spacing w:before="100" w:after="80"/>
      </w:pPr>
      <w:r>
        <w:rPr>
          <w:b/>
        </w:rPr>
        <w:t xml:space="preserve">6.1 Compliance Standard. </w:t>
      </w:r>
      <w:r>
        <w:t>Each Party shall comply with applicable U.S. federal, Texas, port, carrier, customs, sanctions, anti-bribery, environmental, safety, and trade laws. Neither Party shall request the other to make a false, incomplete, or misleading entry, invoice, origin, valuation, classification, marking, packaging, or sanctions-related statement.</w:t>
      </w:r>
    </w:p>
    <w:p w14:paraId="0236B8CE" w14:textId="77777777" w:rsidR="0090764F" w:rsidRDefault="00000000">
      <w:pPr>
        <w:spacing w:before="100" w:after="80"/>
      </w:pPr>
      <w:r>
        <w:rPr>
          <w:b/>
        </w:rPr>
        <w:t xml:space="preserve">6.2 Seller Documentation. </w:t>
      </w:r>
      <w:r>
        <w:t>Seller shall deliver timely, accurate, and complete commercial invoices, packing lists, bills of lading, container and seal numbers, verified weights, country-of-origin information, manufacturer/quarry information, product specifications, packaging and ISPM 15 information, payment/value information, and other records reasonably requested by the IOR or customs broker. The commercial invoice and packing list must enable line-item reconciliation of each container and package to the applicable Goods.</w:t>
      </w:r>
    </w:p>
    <w:p w14:paraId="085C59AE" w14:textId="77777777" w:rsidR="0090764F" w:rsidRDefault="00000000">
      <w:pPr>
        <w:spacing w:before="100" w:after="80"/>
      </w:pPr>
      <w:r>
        <w:rPr>
          <w:b/>
        </w:rPr>
        <w:t xml:space="preserve">6.3 Customs Review and Corrections. </w:t>
      </w:r>
      <w:r>
        <w:t xml:space="preserve">The IOR may hold shipment, require correction, or decline entry if documents or goods appear inaccurate, incomplete, improperly marked, noncompliant, or restricted. Seller shall promptly correct errors </w:t>
      </w:r>
      <w:r>
        <w:lastRenderedPageBreak/>
        <w:t>and cooperate with CBP requests for information, examinations, post-entry corrections, protests, audits, redelivery, re-export, or other lawful government actions.</w:t>
      </w:r>
    </w:p>
    <w:p w14:paraId="59E92D72" w14:textId="77777777" w:rsidR="0090764F" w:rsidRDefault="00000000">
      <w:pPr>
        <w:spacing w:before="100" w:after="80"/>
      </w:pPr>
      <w:r>
        <w:rPr>
          <w:b/>
        </w:rPr>
        <w:t xml:space="preserve">6.4 Record Retention. </w:t>
      </w:r>
      <w:r>
        <w:t>Seller shall retain, and provide to the IOR on request, all transaction, production, origin, product, packing, payment, and shipping records supporting each import for at least five (5) years after importation or longer if applicable law requires. The IOR shall retain records for the period required by applicable law.</w:t>
      </w:r>
    </w:p>
    <w:p w14:paraId="618158F3" w14:textId="77777777" w:rsidR="0090764F" w:rsidRDefault="00000000">
      <w:pPr>
        <w:spacing w:before="100" w:after="80"/>
      </w:pPr>
      <w:r>
        <w:rPr>
          <w:b/>
        </w:rPr>
        <w:t xml:space="preserve">6.5 Restricted Merchandise and Trade Remedies. </w:t>
      </w:r>
      <w:r>
        <w:t>Seller represents that, to its knowledge after reasonable inquiry, the Goods, suppliers, quarry/manufacturing parties, payment parties, and shipment are not subject to undisclosed sanctions, embargoes, import prohibitions, quotas, forced-labor restrictions, antidumping/countervailing duties, or other trade remedies. Before the first shipment and when material facts change, the IOR and broker shall review the actual product, origin, supplier, and classification for applicable restrictions and duty treatment.</w:t>
      </w:r>
    </w:p>
    <w:p w14:paraId="3A3E5E6F" w14:textId="77777777" w:rsidR="0090764F" w:rsidRDefault="00000000">
      <w:pPr>
        <w:pStyle w:val="Heading1"/>
        <w:pBdr>
          <w:bottom w:val="single" w:sz="12" w:space="1" w:color="17365D"/>
        </w:pBdr>
        <w:spacing w:before="260" w:after="120"/>
      </w:pPr>
      <w:r>
        <w:rPr>
          <w:color w:val="17365D"/>
        </w:rPr>
        <w:t>7. Representations, Indemnities, and Insurance</w:t>
      </w:r>
    </w:p>
    <w:p w14:paraId="05B9A158" w14:textId="77777777" w:rsidR="0090764F" w:rsidRDefault="00000000">
      <w:pPr>
        <w:spacing w:before="100" w:after="80"/>
      </w:pPr>
      <w:r>
        <w:rPr>
          <w:b/>
        </w:rPr>
        <w:t xml:space="preserve">7.1 Seller Warranties. </w:t>
      </w:r>
      <w:r>
        <w:t>Seller warrants that Goods will conform to the PO and Exhibit C; product and import-supporting information supplied by Seller will be accurate and complete; Goods will be packaged and marked as required in this Agreement; and Seller has authority to sell the Goods and provide the documents. Seller does not warrant natural variation beyond the written specification.</w:t>
      </w:r>
    </w:p>
    <w:p w14:paraId="3D6F585A" w14:textId="77777777" w:rsidR="0090764F" w:rsidRDefault="00000000">
      <w:pPr>
        <w:spacing w:before="100" w:after="80"/>
      </w:pPr>
      <w:r>
        <w:rPr>
          <w:b/>
        </w:rPr>
        <w:t xml:space="preserve">7.2 Seller Indemnity. </w:t>
      </w:r>
      <w:r>
        <w:t>Seller shall defend, indemnify, and hold harmless Buyer, the IOR, and their affiliates, officers, and employees from third-party claims, Government Charges, penalties, reasonable professional fees, examinations, storage, detention, demurrage, destruction, redelivery, re-export, and other losses arising from Seller’s inaccurate or incomplete product/origin/classification-support/valuation documentation; noncompliant packing or origin marking; noncompliant wood packaging; prohibited or restricted Goods; or Seller’s breach. This does not cover amounts caused solely by the IOR’s independent customs-filing error contrary to accurate, timely information supplied by Seller.</w:t>
      </w:r>
    </w:p>
    <w:p w14:paraId="739D550D" w14:textId="77777777" w:rsidR="0090764F" w:rsidRDefault="00000000">
      <w:pPr>
        <w:spacing w:before="100" w:after="80"/>
      </w:pPr>
      <w:r>
        <w:rPr>
          <w:b/>
        </w:rPr>
        <w:t xml:space="preserve">7.3 Buyer Indemnity. </w:t>
      </w:r>
      <w:r>
        <w:t>Buyer shall defend, indemnify, and hold harmless Seller and its affiliates, officers, and employees from claims and losses arising from Buyer’s breach, its inaccurate instructions, its domestic handling or installation after delivery, or its customs-entry actions where Buyer is IOR, except to the extent caused by Seller’s breach.</w:t>
      </w:r>
    </w:p>
    <w:p w14:paraId="75D4C430" w14:textId="77777777" w:rsidR="0090764F" w:rsidRDefault="00000000">
      <w:pPr>
        <w:spacing w:before="100" w:after="80"/>
      </w:pPr>
      <w:r>
        <w:rPr>
          <w:b/>
        </w:rPr>
        <w:t xml:space="preserve">7.4 Insurance. </w:t>
      </w:r>
      <w:r>
        <w:t>Seller shall maintain commercially reasonable marine cargo insurance when required by CIF and shall provide the certificate upon request. Each Party shall maintain commercially reasonable commercial general liability and other insurance appropriate to its allocated activities. Insurance does not limit contractual liability.</w:t>
      </w:r>
    </w:p>
    <w:p w14:paraId="7E775800" w14:textId="77777777" w:rsidR="0090764F" w:rsidRDefault="00000000">
      <w:pPr>
        <w:pStyle w:val="Heading1"/>
        <w:pBdr>
          <w:bottom w:val="single" w:sz="12" w:space="1" w:color="17365D"/>
        </w:pBdr>
        <w:spacing w:before="260" w:after="120"/>
      </w:pPr>
      <w:r>
        <w:rPr>
          <w:color w:val="17365D"/>
        </w:rPr>
        <w:t>8. Limitation of Liability</w:t>
      </w:r>
    </w:p>
    <w:p w14:paraId="4377EDDD" w14:textId="77777777" w:rsidR="0090764F" w:rsidRDefault="00000000">
      <w:pPr>
        <w:spacing w:before="100" w:after="80"/>
      </w:pPr>
      <w:r>
        <w:rPr>
          <w:b/>
        </w:rPr>
        <w:t xml:space="preserve">8.1 Excluded Damages. </w:t>
      </w:r>
      <w:r>
        <w:t>Except for payment obligations, fraud, willful misconduct, confidentiality breach, indemnification obligations, or liabilities that may not lawfully be limited, neither Party is liable for indirect, incidental, special, punitive, or consequential damages, including lost profits, lost opportunity, or business interruption.</w:t>
      </w:r>
    </w:p>
    <w:p w14:paraId="6AED067B" w14:textId="77777777" w:rsidR="0090764F" w:rsidRDefault="00000000">
      <w:pPr>
        <w:spacing w:before="100" w:after="80"/>
      </w:pPr>
      <w:r>
        <w:rPr>
          <w:b/>
        </w:rPr>
        <w:t xml:space="preserve">8.2 Liability Cap. </w:t>
      </w:r>
      <w:r>
        <w:t>Except for the exclusions in Section 8.1, each Party’s aggregate liability arising from a PO shall not exceed the total amount paid or payable under that PO. This cap does not prevent recovery of documented Government Charges and reasonable professional fees within an indemnity claim to the extent caused by the indemnifying Party.</w:t>
      </w:r>
    </w:p>
    <w:p w14:paraId="221E9CAA" w14:textId="77777777" w:rsidR="0090764F" w:rsidRDefault="00000000">
      <w:pPr>
        <w:pStyle w:val="Heading1"/>
        <w:pBdr>
          <w:bottom w:val="single" w:sz="12" w:space="1" w:color="17365D"/>
        </w:pBdr>
        <w:spacing w:before="260" w:after="120"/>
      </w:pPr>
      <w:r>
        <w:rPr>
          <w:color w:val="17365D"/>
        </w:rPr>
        <w:t>9. Force Majeure</w:t>
      </w:r>
    </w:p>
    <w:p w14:paraId="0B6CE287" w14:textId="77777777" w:rsidR="0090764F" w:rsidRDefault="00000000">
      <w:pPr>
        <w:spacing w:before="100" w:after="80"/>
      </w:pPr>
      <w:r>
        <w:rPr>
          <w:b/>
        </w:rPr>
        <w:t xml:space="preserve">9.1 Covered Events. </w:t>
      </w:r>
      <w:r>
        <w:t>A Party is excused from delay or nonperformance to the extent caused by events beyond its reasonable control, including severe weather, natural disaster, war, blockade, piracy, broad governmental import/export prohibition, port closure, labor strike, vessel casualty, canal obstruction, or material shipping disruption.</w:t>
      </w:r>
    </w:p>
    <w:p w14:paraId="6B3B146E" w14:textId="77777777" w:rsidR="0090764F" w:rsidRDefault="00000000">
      <w:pPr>
        <w:spacing w:before="100" w:after="80"/>
      </w:pPr>
      <w:r>
        <w:rPr>
          <w:b/>
        </w:rPr>
        <w:t xml:space="preserve">9.2 Exclusions. </w:t>
      </w:r>
      <w:r>
        <w:t>Force Majeure does not include financial inability to pay; market-price changes; avoidable failure to obtain licenses, permits, treatment, documentation, or approvals; inaccurate customs information; noncompliant origin marking or packaging; a customs hold caused by the invoking Party’s breach; or an event caused by that Party’s negligence or failure to use commercially reasonable mitigation.</w:t>
      </w:r>
    </w:p>
    <w:p w14:paraId="548BB36D" w14:textId="77777777" w:rsidR="0090764F" w:rsidRDefault="00000000">
      <w:pPr>
        <w:spacing w:before="100" w:after="80"/>
      </w:pPr>
      <w:r>
        <w:rPr>
          <w:b/>
        </w:rPr>
        <w:lastRenderedPageBreak/>
        <w:t xml:space="preserve">9.3 Notice, Mitigation, and Extended Delay. </w:t>
      </w:r>
      <w:r>
        <w:t>The affected Party shall give written notice within five (5) business days after learning of the event, with reasonably available supporting evidence and expected impact. Both Parties shall use commercially reasonable efforts to mitigate. If the event delays a PO for more than sixty (60) consecutive calendar days from the scheduled arrival date, either Party may terminate that PO by written notice. If shipment has not departed, Seller shall refund unused deposit funds less documented permitted costs. If cargo is afloat, risk, title, and recovery are governed by Sections 4.2 and 4.3 and the applicable marine insurance, subject to the Parties’ breach obligations.</w:t>
      </w:r>
    </w:p>
    <w:p w14:paraId="0E6F32FE" w14:textId="77777777" w:rsidR="0090764F" w:rsidRDefault="00000000">
      <w:pPr>
        <w:pStyle w:val="Heading1"/>
        <w:pBdr>
          <w:bottom w:val="single" w:sz="12" w:space="1" w:color="17365D"/>
        </w:pBdr>
        <w:spacing w:before="260" w:after="120"/>
      </w:pPr>
      <w:r>
        <w:rPr>
          <w:color w:val="17365D"/>
        </w:rPr>
        <w:t>10. Dispute Resolution and General Terms</w:t>
      </w:r>
    </w:p>
    <w:p w14:paraId="5B03FE4F" w14:textId="77777777" w:rsidR="0090764F" w:rsidRDefault="00000000">
      <w:pPr>
        <w:spacing w:before="100" w:after="80"/>
      </w:pPr>
      <w:r>
        <w:rPr>
          <w:b/>
        </w:rPr>
        <w:t xml:space="preserve">10.1 Governing Law. </w:t>
      </w:r>
      <w:r>
        <w:t>Texas law governs this Agreement and each PO, without applying conflict-of-laws rules that would select another jurisdiction’s law. The United Nations Convention on Contracts for the International Sale of Goods does not apply.</w:t>
      </w:r>
    </w:p>
    <w:p w14:paraId="433FF3D7" w14:textId="77777777" w:rsidR="0090764F" w:rsidRDefault="00000000">
      <w:pPr>
        <w:spacing w:before="100" w:after="80"/>
      </w:pPr>
      <w:r>
        <w:rPr>
          <w:b/>
        </w:rPr>
        <w:t xml:space="preserve">10.2 Arbitration. </w:t>
      </w:r>
      <w:r>
        <w:t>Any dispute not resolved through good-faith executive negotiation within fifteen (15) business days shall be resolved by binding arbitration administered by the American Arbitration Association under its Commercial Arbitration Rules. The seat of arbitration shall be [San Antonio, Texas / Austin, Texas]. One arbitrator shall hear disputes under $[500,000]; three arbitrators shall hear larger disputes. The award may be enforced in any court with jurisdiction.</w:t>
      </w:r>
    </w:p>
    <w:p w14:paraId="077A6277" w14:textId="77777777" w:rsidR="0090764F" w:rsidRDefault="00000000">
      <w:pPr>
        <w:spacing w:before="100" w:after="80"/>
      </w:pPr>
      <w:r>
        <w:rPr>
          <w:b/>
        </w:rPr>
        <w:t xml:space="preserve">10.3 Interim Relief. </w:t>
      </w:r>
      <w:r>
        <w:t>Either Party may seek temporary or preliminary injunctive relief in a state or federal court located in Bexar County or Travis County, Texas, as applicable, to protect confidential information, preserve collateral, prevent misuse of documents, or prevent irreparable harm, without waiving arbitration.</w:t>
      </w:r>
    </w:p>
    <w:p w14:paraId="7D201D28" w14:textId="77777777" w:rsidR="0090764F" w:rsidRDefault="00000000">
      <w:pPr>
        <w:spacing w:before="100" w:after="80"/>
      </w:pPr>
      <w:r>
        <w:rPr>
          <w:b/>
        </w:rPr>
        <w:t xml:space="preserve">10.4 Notices. </w:t>
      </w:r>
      <w:r>
        <w:t>Notices must be in writing and delivered by personal delivery, nationally recognized courier, or email with confirmation of transmission to the notice addresses in the signature block or a later written designation.</w:t>
      </w:r>
    </w:p>
    <w:p w14:paraId="540B94FF" w14:textId="77777777" w:rsidR="0090764F" w:rsidRDefault="00000000">
      <w:pPr>
        <w:spacing w:before="100" w:after="80"/>
      </w:pPr>
      <w:r>
        <w:rPr>
          <w:b/>
        </w:rPr>
        <w:t xml:space="preserve">10.5 Entire Agreement; Amendments; Assignment. </w:t>
      </w:r>
      <w:r>
        <w:t>This Agreement, its Exhibits, and accepted POs constitute the entire agreement regarding their subject matter. Any amendment or waiver must be written and signed by both Parties. Neither Party may assign this Agreement or a PO without the other Party’s written consent, except to an affiliate or financing source that assumes the assigning Party’s obligations.</w:t>
      </w:r>
    </w:p>
    <w:p w14:paraId="5B5FD214" w14:textId="77777777" w:rsidR="0090764F" w:rsidRDefault="00000000">
      <w:pPr>
        <w:spacing w:before="100" w:after="80"/>
      </w:pPr>
      <w:r>
        <w:rPr>
          <w:b/>
        </w:rPr>
        <w:t xml:space="preserve">10.6 Severability; Counterparts; Electronic Signatures. </w:t>
      </w:r>
      <w:r>
        <w:t>If a provision is unenforceable, it shall be modified only as necessary and the remaining provisions remain effective. This Agreement may be signed in counterparts and by electronic signature, each of which is deemed an original.</w:t>
      </w:r>
    </w:p>
    <w:p w14:paraId="060B2222" w14:textId="77777777" w:rsidR="0090764F" w:rsidRDefault="00000000">
      <w:pPr>
        <w:pStyle w:val="Heading1"/>
        <w:pBdr>
          <w:bottom w:val="single" w:sz="12" w:space="1" w:color="17365D"/>
        </w:pBdr>
        <w:spacing w:before="260" w:after="120"/>
      </w:pPr>
      <w:r>
        <w:rPr>
          <w:color w:val="17365D"/>
        </w:rPr>
        <w:t>11. Importer-of-Record Election and Allocation</w:t>
      </w:r>
    </w:p>
    <w:tbl>
      <w:tblPr>
        <w:tblW w:w="0" w:type="auto"/>
        <w:tblLook w:val="04A0" w:firstRow="1" w:lastRow="0" w:firstColumn="1" w:lastColumn="0" w:noHBand="0" w:noVBand="1"/>
      </w:tblPr>
      <w:tblGrid>
        <w:gridCol w:w="10166"/>
      </w:tblGrid>
      <w:tr w:rsidR="0090764F" w14:paraId="6C0FAB7E" w14:textId="77777777">
        <w:tc>
          <w:tcPr>
            <w:tcW w:w="10166" w:type="dxa"/>
            <w:shd w:val="clear" w:color="auto" w:fill="FFF2CC"/>
          </w:tcPr>
          <w:p w14:paraId="74293629" w14:textId="77777777" w:rsidR="0090764F" w:rsidRDefault="00000000">
            <w:r>
              <w:rPr>
                <w:b/>
                <w:color w:val="9C0006"/>
              </w:rPr>
              <w:t xml:space="preserve">SCENARIO 1 — SELLER AS IOR. </w:t>
            </w:r>
            <w:r>
              <w:t>Under this version, ETO IBS LLC (d/b/a Stonegate International) is the Importer of Record. Buyer is not the IOR unless a later PO expressly replaces this Section with a separately signed buyer-IOR agreement.</w:t>
            </w:r>
          </w:p>
        </w:tc>
      </w:tr>
    </w:tbl>
    <w:p w14:paraId="3032F07E" w14:textId="77777777" w:rsidR="0090764F" w:rsidRDefault="0090764F">
      <w:pPr>
        <w:spacing w:after="20"/>
      </w:pPr>
    </w:p>
    <w:p w14:paraId="2D40E505" w14:textId="77777777" w:rsidR="0090764F" w:rsidRDefault="00000000">
      <w:pPr>
        <w:spacing w:before="100" w:after="80"/>
      </w:pPr>
      <w:r>
        <w:rPr>
          <w:b/>
        </w:rPr>
        <w:t xml:space="preserve">11.1 IOR and Broker. </w:t>
      </w:r>
      <w:r>
        <w:t>Seller shall be the IOR and shall appoint and instruct the licensed U.S. customs broker, maintain required customs-bond coverage, make entry, and communicate with CBP. Seller shall use reasonable care in entry decisions based on the information available and shall provide Buyer a copy of the entry summary and final customs accounting upon request, subject to confidentiality and broker restrictions.</w:t>
      </w:r>
    </w:p>
    <w:p w14:paraId="2D9EC317" w14:textId="77777777" w:rsidR="0090764F" w:rsidRDefault="00000000">
      <w:pPr>
        <w:spacing w:before="100" w:after="80"/>
      </w:pPr>
      <w:r>
        <w:rPr>
          <w:b/>
        </w:rPr>
        <w:t xml:space="preserve">11.2 Government Charges. </w:t>
      </w:r>
      <w:r>
        <w:t>Seller shall be legally responsible, as IOR, for the customs entry and payment of duties, tariffs, fees, and other Government Charges assessed to the entry. Unless the PO states that a charge is included in the price, Buyer shall reimburse Seller for the Government Charges specifically listed in the PO or otherwise approved in writing, provided Seller supplies supporting entry, broker, carrier, terminal, or government documentation. Buyer is not responsible for penalties, added duties, or costs caused by Seller’s breach or incorrect/incomplete Seller-supplied information.</w:t>
      </w:r>
    </w:p>
    <w:p w14:paraId="3EAF0DC4" w14:textId="77777777" w:rsidR="0090764F" w:rsidRDefault="00000000">
      <w:pPr>
        <w:spacing w:before="100" w:after="80"/>
      </w:pPr>
      <w:r>
        <w:rPr>
          <w:b/>
        </w:rPr>
        <w:t xml:space="preserve">11.3 Customs Release and Tender. </w:t>
      </w:r>
      <w:r>
        <w:t>Seller shall tender the cargo to Buyer’s designated dray carrier only after Customs Release, payment or secured payment of all then-due PO amounts, and Seller’s completion of its IOR obligations. Buyer shall timely nominate a qualified dray carrier and provide delivery instructions. Buyer is responsible for destination movement after tender, subject to the PO.</w:t>
      </w:r>
    </w:p>
    <w:p w14:paraId="5CAFEBD2" w14:textId="77777777" w:rsidR="0090764F" w:rsidRDefault="00000000">
      <w:pPr>
        <w:spacing w:before="100" w:after="80"/>
      </w:pPr>
      <w:r>
        <w:rPr>
          <w:b/>
        </w:rPr>
        <w:lastRenderedPageBreak/>
        <w:t xml:space="preserve">11.4 Buyer Cooperation. </w:t>
      </w:r>
      <w:r>
        <w:t>Buyer shall timely provide resale/exemption certificates, consignee information, end-use information, delivery instructions, and other reasonable information needed for lawful entry or domestic sale. Buyer shall not direct Seller or Seller’s broker to file inaccurate entry data.</w:t>
      </w:r>
    </w:p>
    <w:p w14:paraId="63F6CC66" w14:textId="77777777" w:rsidR="0090764F" w:rsidRDefault="00000000">
      <w:pPr>
        <w:spacing w:before="100" w:after="80"/>
      </w:pPr>
      <w:r>
        <w:rPr>
          <w:b/>
        </w:rPr>
        <w:t xml:space="preserve">11.5 No Transfer of IOR Liability. </w:t>
      </w:r>
      <w:r>
        <w:t>Commercial reimbursement by Buyer does not transfer Seller’s legal IOR liability to Buyer. Seller remains responsible for its own customs filings and its broker’s instructions, except as expressly indemnified for Buyer-caused inaccurate information.</w:t>
      </w:r>
    </w:p>
    <w:p w14:paraId="0E0C6197" w14:textId="77777777" w:rsidR="0090764F" w:rsidRDefault="00000000">
      <w:pPr>
        <w:pStyle w:val="Heading1"/>
        <w:pBdr>
          <w:bottom w:val="single" w:sz="12" w:space="1" w:color="17365D"/>
        </w:pBdr>
        <w:spacing w:before="260" w:after="120"/>
      </w:pPr>
      <w:r>
        <w:rPr>
          <w:color w:val="17365D"/>
        </w:rPr>
        <w:t>Exhibit A — Purchase Order and Pro Forma Schedule</w:t>
      </w:r>
    </w:p>
    <w:p w14:paraId="0C088CFD" w14:textId="77777777" w:rsidR="0090764F" w:rsidRDefault="00000000">
      <w:r>
        <w:t>Each PO should be completed, dated, and signed/accepted by both Parties. Attach additional pages if necessary.</w:t>
      </w:r>
    </w:p>
    <w:tbl>
      <w:tblPr>
        <w:tblStyle w:val="TableGrid"/>
        <w:tblW w:w="0" w:type="auto"/>
        <w:jc w:val="center"/>
        <w:tblLook w:val="04A0" w:firstRow="1" w:lastRow="0" w:firstColumn="1" w:lastColumn="0" w:noHBand="0" w:noVBand="1"/>
      </w:tblPr>
      <w:tblGrid>
        <w:gridCol w:w="5083"/>
        <w:gridCol w:w="5083"/>
      </w:tblGrid>
      <w:tr w:rsidR="0090764F" w14:paraId="49A74E80" w14:textId="77777777">
        <w:trPr>
          <w:jc w:val="center"/>
        </w:trPr>
        <w:tc>
          <w:tcPr>
            <w:tcW w:w="5083" w:type="dxa"/>
          </w:tcPr>
          <w:p w14:paraId="3F15830D" w14:textId="77777777" w:rsidR="0090764F" w:rsidRDefault="0090764F"/>
        </w:tc>
        <w:tc>
          <w:tcPr>
            <w:tcW w:w="5083" w:type="dxa"/>
          </w:tcPr>
          <w:p w14:paraId="37516BF4" w14:textId="77777777" w:rsidR="0090764F" w:rsidRDefault="0090764F"/>
        </w:tc>
      </w:tr>
      <w:tr w:rsidR="0090764F" w14:paraId="2933C097" w14:textId="77777777">
        <w:trPr>
          <w:jc w:val="center"/>
        </w:trPr>
        <w:tc>
          <w:tcPr>
            <w:tcW w:w="5083" w:type="dxa"/>
            <w:shd w:val="clear" w:color="auto" w:fill="EAF0F7"/>
            <w:vAlign w:val="center"/>
          </w:tcPr>
          <w:p w14:paraId="327B5CB1" w14:textId="77777777" w:rsidR="0090764F" w:rsidRDefault="00000000">
            <w:r>
              <w:rPr>
                <w:b/>
                <w:color w:val="17365D"/>
                <w:sz w:val="17"/>
              </w:rPr>
              <w:t>PO Number / Date</w:t>
            </w:r>
          </w:p>
        </w:tc>
        <w:tc>
          <w:tcPr>
            <w:tcW w:w="5083" w:type="dxa"/>
            <w:vAlign w:val="center"/>
          </w:tcPr>
          <w:p w14:paraId="419FC41F" w14:textId="77777777" w:rsidR="0090764F" w:rsidRDefault="00000000">
            <w:r>
              <w:rPr>
                <w:sz w:val="17"/>
              </w:rPr>
              <w:t>[ ] / [ ]</w:t>
            </w:r>
          </w:p>
        </w:tc>
      </w:tr>
      <w:tr w:rsidR="0090764F" w14:paraId="30326F9B" w14:textId="77777777">
        <w:trPr>
          <w:jc w:val="center"/>
        </w:trPr>
        <w:tc>
          <w:tcPr>
            <w:tcW w:w="5083" w:type="dxa"/>
            <w:shd w:val="clear" w:color="auto" w:fill="EAF0F7"/>
            <w:vAlign w:val="center"/>
          </w:tcPr>
          <w:p w14:paraId="417026D7" w14:textId="77777777" w:rsidR="0090764F" w:rsidRDefault="00000000">
            <w:r>
              <w:rPr>
                <w:b/>
                <w:color w:val="17365D"/>
                <w:sz w:val="17"/>
              </w:rPr>
              <w:t>Buyer / Seller</w:t>
            </w:r>
          </w:p>
        </w:tc>
        <w:tc>
          <w:tcPr>
            <w:tcW w:w="5083" w:type="dxa"/>
            <w:vAlign w:val="center"/>
          </w:tcPr>
          <w:p w14:paraId="068ED29C" w14:textId="77777777" w:rsidR="0090764F" w:rsidRDefault="00000000">
            <w:r>
              <w:rPr>
                <w:sz w:val="17"/>
              </w:rPr>
              <w:t>[ ] / ETO IBS LLC d/b/a Stonegate International</w:t>
            </w:r>
          </w:p>
        </w:tc>
      </w:tr>
      <w:tr w:rsidR="0090764F" w14:paraId="027DC197" w14:textId="77777777">
        <w:trPr>
          <w:jc w:val="center"/>
        </w:trPr>
        <w:tc>
          <w:tcPr>
            <w:tcW w:w="5083" w:type="dxa"/>
            <w:shd w:val="clear" w:color="auto" w:fill="EAF0F7"/>
            <w:vAlign w:val="center"/>
          </w:tcPr>
          <w:p w14:paraId="19F06B59" w14:textId="77777777" w:rsidR="0090764F" w:rsidRDefault="00000000">
            <w:r>
              <w:rPr>
                <w:b/>
                <w:color w:val="17365D"/>
                <w:sz w:val="17"/>
              </w:rPr>
              <w:t>IOR</w:t>
            </w:r>
          </w:p>
        </w:tc>
        <w:tc>
          <w:tcPr>
            <w:tcW w:w="5083" w:type="dxa"/>
            <w:vAlign w:val="center"/>
          </w:tcPr>
          <w:p w14:paraId="3752E73C" w14:textId="77777777" w:rsidR="0090764F" w:rsidRDefault="00000000">
            <w:r>
              <w:rPr>
                <w:sz w:val="17"/>
              </w:rPr>
              <w:t>Seller (Scenario 1)</w:t>
            </w:r>
          </w:p>
        </w:tc>
      </w:tr>
      <w:tr w:rsidR="0090764F" w14:paraId="04DE14F4" w14:textId="77777777">
        <w:trPr>
          <w:jc w:val="center"/>
        </w:trPr>
        <w:tc>
          <w:tcPr>
            <w:tcW w:w="5083" w:type="dxa"/>
            <w:shd w:val="clear" w:color="auto" w:fill="EAF0F7"/>
            <w:vAlign w:val="center"/>
          </w:tcPr>
          <w:p w14:paraId="2D787AB3" w14:textId="77777777" w:rsidR="0090764F" w:rsidRDefault="00000000">
            <w:r>
              <w:rPr>
                <w:b/>
                <w:color w:val="17365D"/>
                <w:sz w:val="17"/>
              </w:rPr>
              <w:t>Named Port of Loading</w:t>
            </w:r>
          </w:p>
        </w:tc>
        <w:tc>
          <w:tcPr>
            <w:tcW w:w="5083" w:type="dxa"/>
            <w:vAlign w:val="center"/>
          </w:tcPr>
          <w:p w14:paraId="0207EB64" w14:textId="77777777" w:rsidR="0090764F" w:rsidRDefault="00000000">
            <w:r>
              <w:rPr>
                <w:sz w:val="17"/>
              </w:rPr>
              <w:t>[e.g., İzmir / Mersin / other Turkish port]</w:t>
            </w:r>
          </w:p>
        </w:tc>
      </w:tr>
      <w:tr w:rsidR="0090764F" w14:paraId="57C24289" w14:textId="77777777">
        <w:trPr>
          <w:jc w:val="center"/>
        </w:trPr>
        <w:tc>
          <w:tcPr>
            <w:tcW w:w="5083" w:type="dxa"/>
            <w:shd w:val="clear" w:color="auto" w:fill="EAF0F7"/>
            <w:vAlign w:val="center"/>
          </w:tcPr>
          <w:p w14:paraId="56D67BE8" w14:textId="77777777" w:rsidR="0090764F" w:rsidRDefault="00000000">
            <w:r>
              <w:rPr>
                <w:b/>
                <w:color w:val="17365D"/>
                <w:sz w:val="17"/>
              </w:rPr>
              <w:t>Named Destination Port</w:t>
            </w:r>
          </w:p>
        </w:tc>
        <w:tc>
          <w:tcPr>
            <w:tcW w:w="5083" w:type="dxa"/>
            <w:vAlign w:val="center"/>
          </w:tcPr>
          <w:p w14:paraId="7D5C44A4" w14:textId="77777777" w:rsidR="0090764F" w:rsidRDefault="00000000">
            <w:r>
              <w:rPr>
                <w:sz w:val="17"/>
              </w:rPr>
              <w:t>Port of Houston, Texas</w:t>
            </w:r>
          </w:p>
        </w:tc>
      </w:tr>
      <w:tr w:rsidR="0090764F" w14:paraId="664D5E34" w14:textId="77777777">
        <w:trPr>
          <w:jc w:val="center"/>
        </w:trPr>
        <w:tc>
          <w:tcPr>
            <w:tcW w:w="5083" w:type="dxa"/>
            <w:shd w:val="clear" w:color="auto" w:fill="EAF0F7"/>
            <w:vAlign w:val="center"/>
          </w:tcPr>
          <w:p w14:paraId="527F5E74" w14:textId="77777777" w:rsidR="0090764F" w:rsidRDefault="00000000">
            <w:r>
              <w:rPr>
                <w:b/>
                <w:color w:val="17365D"/>
                <w:sz w:val="17"/>
              </w:rPr>
              <w:t>Incoterms</w:t>
            </w:r>
          </w:p>
        </w:tc>
        <w:tc>
          <w:tcPr>
            <w:tcW w:w="5083" w:type="dxa"/>
            <w:vAlign w:val="center"/>
          </w:tcPr>
          <w:p w14:paraId="7B577C6D" w14:textId="77777777" w:rsidR="0090764F" w:rsidRDefault="00000000">
            <w:r>
              <w:rPr>
                <w:sz w:val="17"/>
              </w:rPr>
              <w:t>CIF Port of Houston, Texas, Incoterms® 2020</w:t>
            </w:r>
          </w:p>
        </w:tc>
      </w:tr>
      <w:tr w:rsidR="0090764F" w14:paraId="5206ACC3" w14:textId="77777777">
        <w:trPr>
          <w:jc w:val="center"/>
        </w:trPr>
        <w:tc>
          <w:tcPr>
            <w:tcW w:w="5083" w:type="dxa"/>
            <w:shd w:val="clear" w:color="auto" w:fill="EAF0F7"/>
            <w:vAlign w:val="center"/>
          </w:tcPr>
          <w:p w14:paraId="4123CD6D" w14:textId="77777777" w:rsidR="0090764F" w:rsidRDefault="00000000">
            <w:r>
              <w:rPr>
                <w:b/>
                <w:color w:val="17365D"/>
                <w:sz w:val="17"/>
              </w:rPr>
              <w:t>Latest Shipment / Delivery Window</w:t>
            </w:r>
          </w:p>
        </w:tc>
        <w:tc>
          <w:tcPr>
            <w:tcW w:w="5083" w:type="dxa"/>
            <w:vAlign w:val="center"/>
          </w:tcPr>
          <w:p w14:paraId="158CB4F4" w14:textId="77777777" w:rsidR="0090764F" w:rsidRDefault="00000000">
            <w:r>
              <w:rPr>
                <w:sz w:val="17"/>
              </w:rPr>
              <w:t>[ ] / [ ]</w:t>
            </w:r>
          </w:p>
        </w:tc>
      </w:tr>
      <w:tr w:rsidR="0090764F" w14:paraId="68DB60C1" w14:textId="77777777">
        <w:trPr>
          <w:jc w:val="center"/>
        </w:trPr>
        <w:tc>
          <w:tcPr>
            <w:tcW w:w="5083" w:type="dxa"/>
            <w:shd w:val="clear" w:color="auto" w:fill="EAF0F7"/>
            <w:vAlign w:val="center"/>
          </w:tcPr>
          <w:p w14:paraId="651E908D" w14:textId="77777777" w:rsidR="0090764F" w:rsidRDefault="00000000">
            <w:r>
              <w:rPr>
                <w:b/>
                <w:color w:val="17365D"/>
                <w:sz w:val="17"/>
              </w:rPr>
              <w:t>Partial Shipment / Transshipment</w:t>
            </w:r>
          </w:p>
        </w:tc>
        <w:tc>
          <w:tcPr>
            <w:tcW w:w="5083" w:type="dxa"/>
            <w:vAlign w:val="center"/>
          </w:tcPr>
          <w:p w14:paraId="609C57A6" w14:textId="77777777" w:rsidR="0090764F" w:rsidRDefault="00000000">
            <w:r>
              <w:rPr>
                <w:sz w:val="17"/>
              </w:rPr>
              <w:t>[Allowed / Prohibited] / [Allowed / Prohibited]</w:t>
            </w:r>
          </w:p>
        </w:tc>
      </w:tr>
      <w:tr w:rsidR="0090764F" w14:paraId="25AE5CC1" w14:textId="77777777">
        <w:trPr>
          <w:jc w:val="center"/>
        </w:trPr>
        <w:tc>
          <w:tcPr>
            <w:tcW w:w="5083" w:type="dxa"/>
            <w:shd w:val="clear" w:color="auto" w:fill="EAF0F7"/>
            <w:vAlign w:val="center"/>
          </w:tcPr>
          <w:p w14:paraId="431BCA11" w14:textId="77777777" w:rsidR="0090764F" w:rsidRDefault="00000000">
            <w:r>
              <w:rPr>
                <w:b/>
                <w:color w:val="17365D"/>
                <w:sz w:val="17"/>
              </w:rPr>
              <w:t>Customs Broker / Bond Contact</w:t>
            </w:r>
          </w:p>
        </w:tc>
        <w:tc>
          <w:tcPr>
            <w:tcW w:w="5083" w:type="dxa"/>
            <w:vAlign w:val="center"/>
          </w:tcPr>
          <w:p w14:paraId="1C23D4FB" w14:textId="77777777" w:rsidR="0090764F" w:rsidRDefault="00000000">
            <w:r>
              <w:rPr>
                <w:sz w:val="17"/>
              </w:rPr>
              <w:t>[ ]</w:t>
            </w:r>
          </w:p>
        </w:tc>
      </w:tr>
      <w:tr w:rsidR="0090764F" w14:paraId="5C35C0CC" w14:textId="77777777">
        <w:trPr>
          <w:jc w:val="center"/>
        </w:trPr>
        <w:tc>
          <w:tcPr>
            <w:tcW w:w="5083" w:type="dxa"/>
            <w:shd w:val="clear" w:color="auto" w:fill="EAF0F7"/>
            <w:vAlign w:val="center"/>
          </w:tcPr>
          <w:p w14:paraId="2D291B1A" w14:textId="77777777" w:rsidR="0090764F" w:rsidRDefault="00000000">
            <w:r>
              <w:rPr>
                <w:b/>
                <w:color w:val="17365D"/>
                <w:sz w:val="17"/>
              </w:rPr>
              <w:t>Destination Dray Carrier / Contact</w:t>
            </w:r>
          </w:p>
        </w:tc>
        <w:tc>
          <w:tcPr>
            <w:tcW w:w="5083" w:type="dxa"/>
            <w:vAlign w:val="center"/>
          </w:tcPr>
          <w:p w14:paraId="1D0176C2" w14:textId="77777777" w:rsidR="0090764F" w:rsidRDefault="00000000">
            <w:r>
              <w:rPr>
                <w:sz w:val="17"/>
              </w:rPr>
              <w:t>[ ]</w:t>
            </w:r>
          </w:p>
        </w:tc>
      </w:tr>
      <w:tr w:rsidR="0090764F" w14:paraId="1330AD6F" w14:textId="77777777">
        <w:trPr>
          <w:jc w:val="center"/>
        </w:trPr>
        <w:tc>
          <w:tcPr>
            <w:tcW w:w="5083" w:type="dxa"/>
            <w:shd w:val="clear" w:color="auto" w:fill="EAF0F7"/>
            <w:vAlign w:val="center"/>
          </w:tcPr>
          <w:p w14:paraId="15324786" w14:textId="77777777" w:rsidR="0090764F" w:rsidRDefault="00000000">
            <w:r>
              <w:rPr>
                <w:b/>
                <w:color w:val="17365D"/>
                <w:sz w:val="17"/>
              </w:rPr>
              <w:t>Destination Charges Allocation</w:t>
            </w:r>
          </w:p>
        </w:tc>
        <w:tc>
          <w:tcPr>
            <w:tcW w:w="5083" w:type="dxa"/>
            <w:vAlign w:val="center"/>
          </w:tcPr>
          <w:p w14:paraId="44EEAB5B" w14:textId="77777777" w:rsidR="0090764F" w:rsidRDefault="00000000">
            <w:r>
              <w:rPr>
                <w:sz w:val="17"/>
              </w:rPr>
              <w:t>[List each: THC, ISPS, chassis, exam, storage, demurrage, detention, drayage, unloading]</w:t>
            </w:r>
          </w:p>
        </w:tc>
      </w:tr>
      <w:tr w:rsidR="0090764F" w14:paraId="7A3F4689" w14:textId="77777777">
        <w:trPr>
          <w:jc w:val="center"/>
        </w:trPr>
        <w:tc>
          <w:tcPr>
            <w:tcW w:w="5083" w:type="dxa"/>
            <w:shd w:val="clear" w:color="auto" w:fill="EAF0F7"/>
            <w:vAlign w:val="center"/>
          </w:tcPr>
          <w:p w14:paraId="4D7A39F7" w14:textId="77777777" w:rsidR="0090764F" w:rsidRDefault="00000000">
            <w:r>
              <w:rPr>
                <w:b/>
                <w:color w:val="17365D"/>
                <w:sz w:val="17"/>
              </w:rPr>
              <w:t>Operational Contingency</w:t>
            </w:r>
          </w:p>
        </w:tc>
        <w:tc>
          <w:tcPr>
            <w:tcW w:w="5083" w:type="dxa"/>
            <w:vAlign w:val="center"/>
          </w:tcPr>
          <w:p w14:paraId="650E8CDF" w14:textId="77777777" w:rsidR="0090764F" w:rsidRDefault="00000000">
            <w:r>
              <w:rPr>
                <w:sz w:val="17"/>
              </w:rPr>
              <w:t>[None / ___% capped at $___; permitted uses: ___]</w:t>
            </w:r>
          </w:p>
        </w:tc>
      </w:tr>
      <w:tr w:rsidR="0090764F" w14:paraId="51B5A5B8" w14:textId="77777777">
        <w:trPr>
          <w:jc w:val="center"/>
        </w:trPr>
        <w:tc>
          <w:tcPr>
            <w:tcW w:w="5083" w:type="dxa"/>
            <w:shd w:val="clear" w:color="auto" w:fill="EAF0F7"/>
            <w:vAlign w:val="center"/>
          </w:tcPr>
          <w:p w14:paraId="6881FBD0" w14:textId="77777777" w:rsidR="0090764F" w:rsidRDefault="00000000">
            <w:r>
              <w:rPr>
                <w:b/>
                <w:color w:val="17365D"/>
                <w:sz w:val="17"/>
              </w:rPr>
              <w:t>Payment Structure</w:t>
            </w:r>
          </w:p>
        </w:tc>
        <w:tc>
          <w:tcPr>
            <w:tcW w:w="5083" w:type="dxa"/>
            <w:vAlign w:val="center"/>
          </w:tcPr>
          <w:p w14:paraId="5DA6591D" w14:textId="77777777" w:rsidR="0090764F" w:rsidRDefault="00000000">
            <w:r>
              <w:rPr>
                <w:sz w:val="17"/>
              </w:rPr>
              <w:t>[20% deposit / 80% documentary LC at sight / other]</w:t>
            </w:r>
          </w:p>
        </w:tc>
      </w:tr>
      <w:tr w:rsidR="0090764F" w14:paraId="0C56C299" w14:textId="77777777">
        <w:trPr>
          <w:jc w:val="center"/>
        </w:trPr>
        <w:tc>
          <w:tcPr>
            <w:tcW w:w="5083" w:type="dxa"/>
            <w:shd w:val="clear" w:color="auto" w:fill="EAF0F7"/>
            <w:vAlign w:val="center"/>
          </w:tcPr>
          <w:p w14:paraId="40A36B2C" w14:textId="77777777" w:rsidR="0090764F" w:rsidRDefault="00000000">
            <w:r>
              <w:rPr>
                <w:b/>
                <w:color w:val="17365D"/>
                <w:sz w:val="17"/>
              </w:rPr>
              <w:t>Bank Instrument Rules</w:t>
            </w:r>
          </w:p>
        </w:tc>
        <w:tc>
          <w:tcPr>
            <w:tcW w:w="5083" w:type="dxa"/>
            <w:vAlign w:val="center"/>
          </w:tcPr>
          <w:p w14:paraId="58533CF7" w14:textId="77777777" w:rsidR="0090764F" w:rsidRDefault="00000000">
            <w:r>
              <w:rPr>
                <w:sz w:val="17"/>
              </w:rPr>
              <w:t>[UCP 600 / ISP98; instrument attached]</w:t>
            </w:r>
          </w:p>
        </w:tc>
      </w:tr>
      <w:tr w:rsidR="0090764F" w14:paraId="313F3F40" w14:textId="77777777">
        <w:trPr>
          <w:jc w:val="center"/>
        </w:trPr>
        <w:tc>
          <w:tcPr>
            <w:tcW w:w="5083" w:type="dxa"/>
            <w:shd w:val="clear" w:color="auto" w:fill="EAF0F7"/>
            <w:vAlign w:val="center"/>
          </w:tcPr>
          <w:p w14:paraId="77742C83" w14:textId="77777777" w:rsidR="0090764F" w:rsidRDefault="00000000">
            <w:r>
              <w:rPr>
                <w:b/>
                <w:color w:val="17365D"/>
                <w:sz w:val="17"/>
              </w:rPr>
              <w:t>Sales/Use Tax Certificate</w:t>
            </w:r>
          </w:p>
        </w:tc>
        <w:tc>
          <w:tcPr>
            <w:tcW w:w="5083" w:type="dxa"/>
            <w:vAlign w:val="center"/>
          </w:tcPr>
          <w:p w14:paraId="3EDCA1FD" w14:textId="77777777" w:rsidR="0090764F" w:rsidRDefault="00000000">
            <w:r>
              <w:rPr>
                <w:sz w:val="17"/>
              </w:rPr>
              <w:t>[Attached / N/A]</w:t>
            </w:r>
          </w:p>
        </w:tc>
      </w:tr>
    </w:tbl>
    <w:p w14:paraId="626A5A02" w14:textId="77777777" w:rsidR="0090764F" w:rsidRDefault="0090764F"/>
    <w:tbl>
      <w:tblPr>
        <w:tblStyle w:val="TableGrid"/>
        <w:tblW w:w="0" w:type="auto"/>
        <w:jc w:val="center"/>
        <w:tblLook w:val="04A0" w:firstRow="1" w:lastRow="0" w:firstColumn="1" w:lastColumn="0" w:noHBand="0" w:noVBand="1"/>
      </w:tblPr>
      <w:tblGrid>
        <w:gridCol w:w="1017"/>
        <w:gridCol w:w="1017"/>
        <w:gridCol w:w="1017"/>
        <w:gridCol w:w="1017"/>
        <w:gridCol w:w="1017"/>
        <w:gridCol w:w="1017"/>
        <w:gridCol w:w="1017"/>
        <w:gridCol w:w="1017"/>
        <w:gridCol w:w="1017"/>
        <w:gridCol w:w="1017"/>
      </w:tblGrid>
      <w:tr w:rsidR="0090764F" w14:paraId="35155E19" w14:textId="77777777">
        <w:trPr>
          <w:jc w:val="center"/>
        </w:trPr>
        <w:tc>
          <w:tcPr>
            <w:tcW w:w="1017" w:type="dxa"/>
            <w:shd w:val="clear" w:color="auto" w:fill="17365D"/>
            <w:vAlign w:val="center"/>
          </w:tcPr>
          <w:p w14:paraId="250BDDD0" w14:textId="77777777" w:rsidR="0090764F" w:rsidRDefault="00000000">
            <w:r>
              <w:rPr>
                <w:b/>
                <w:color w:val="FFFFFF"/>
                <w:sz w:val="15"/>
              </w:rPr>
              <w:t>Item</w:t>
            </w:r>
          </w:p>
        </w:tc>
        <w:tc>
          <w:tcPr>
            <w:tcW w:w="1017" w:type="dxa"/>
            <w:shd w:val="clear" w:color="auto" w:fill="17365D"/>
            <w:vAlign w:val="center"/>
          </w:tcPr>
          <w:p w14:paraId="53493B4B" w14:textId="77777777" w:rsidR="0090764F" w:rsidRDefault="00000000">
            <w:r>
              <w:rPr>
                <w:b/>
                <w:color w:val="FFFFFF"/>
                <w:sz w:val="15"/>
              </w:rPr>
              <w:t>SKU / Stone / Quarry</w:t>
            </w:r>
          </w:p>
        </w:tc>
        <w:tc>
          <w:tcPr>
            <w:tcW w:w="1017" w:type="dxa"/>
            <w:shd w:val="clear" w:color="auto" w:fill="17365D"/>
            <w:vAlign w:val="center"/>
          </w:tcPr>
          <w:p w14:paraId="3B749812" w14:textId="77777777" w:rsidR="0090764F" w:rsidRDefault="00000000">
            <w:r>
              <w:rPr>
                <w:b/>
                <w:color w:val="FFFFFF"/>
                <w:sz w:val="15"/>
              </w:rPr>
              <w:t>Origin</w:t>
            </w:r>
          </w:p>
        </w:tc>
        <w:tc>
          <w:tcPr>
            <w:tcW w:w="1017" w:type="dxa"/>
            <w:shd w:val="clear" w:color="auto" w:fill="17365D"/>
            <w:vAlign w:val="center"/>
          </w:tcPr>
          <w:p w14:paraId="02FAACA1" w14:textId="77777777" w:rsidR="0090764F" w:rsidRDefault="00000000">
            <w:r>
              <w:rPr>
                <w:b/>
                <w:color w:val="FFFFFF"/>
                <w:sz w:val="15"/>
              </w:rPr>
              <w:t>HTSUS*</w:t>
            </w:r>
          </w:p>
        </w:tc>
        <w:tc>
          <w:tcPr>
            <w:tcW w:w="1017" w:type="dxa"/>
            <w:shd w:val="clear" w:color="auto" w:fill="17365D"/>
            <w:vAlign w:val="center"/>
          </w:tcPr>
          <w:p w14:paraId="65BD57E8" w14:textId="77777777" w:rsidR="0090764F" w:rsidRDefault="00000000">
            <w:r>
              <w:rPr>
                <w:b/>
                <w:color w:val="FFFFFF"/>
                <w:sz w:val="15"/>
              </w:rPr>
              <w:t>Thickness / Finish</w:t>
            </w:r>
          </w:p>
        </w:tc>
        <w:tc>
          <w:tcPr>
            <w:tcW w:w="1017" w:type="dxa"/>
            <w:shd w:val="clear" w:color="auto" w:fill="17365D"/>
            <w:vAlign w:val="center"/>
          </w:tcPr>
          <w:p w14:paraId="2BE23AB3" w14:textId="77777777" w:rsidR="0090764F" w:rsidRDefault="00000000">
            <w:r>
              <w:rPr>
                <w:b/>
                <w:color w:val="FFFFFF"/>
                <w:sz w:val="15"/>
              </w:rPr>
              <w:t>Slabs / Crates</w:t>
            </w:r>
          </w:p>
        </w:tc>
        <w:tc>
          <w:tcPr>
            <w:tcW w:w="1017" w:type="dxa"/>
            <w:shd w:val="clear" w:color="auto" w:fill="17365D"/>
            <w:vAlign w:val="center"/>
          </w:tcPr>
          <w:p w14:paraId="20F2A039" w14:textId="77777777" w:rsidR="0090764F" w:rsidRDefault="00000000">
            <w:r>
              <w:rPr>
                <w:b/>
                <w:color w:val="FFFFFF"/>
                <w:sz w:val="15"/>
              </w:rPr>
              <w:t>Area</w:t>
            </w:r>
          </w:p>
        </w:tc>
        <w:tc>
          <w:tcPr>
            <w:tcW w:w="1017" w:type="dxa"/>
            <w:shd w:val="clear" w:color="auto" w:fill="17365D"/>
            <w:vAlign w:val="center"/>
          </w:tcPr>
          <w:p w14:paraId="16F97138" w14:textId="77777777" w:rsidR="0090764F" w:rsidRDefault="00000000">
            <w:r>
              <w:rPr>
                <w:b/>
                <w:color w:val="FFFFFF"/>
                <w:sz w:val="15"/>
              </w:rPr>
              <w:t>Net / Gross Wt.</w:t>
            </w:r>
          </w:p>
        </w:tc>
        <w:tc>
          <w:tcPr>
            <w:tcW w:w="1017" w:type="dxa"/>
            <w:shd w:val="clear" w:color="auto" w:fill="17365D"/>
            <w:vAlign w:val="center"/>
          </w:tcPr>
          <w:p w14:paraId="7A7921E5" w14:textId="77777777" w:rsidR="0090764F" w:rsidRDefault="00000000">
            <w:r>
              <w:rPr>
                <w:b/>
                <w:color w:val="FFFFFF"/>
                <w:sz w:val="15"/>
              </w:rPr>
              <w:t>Unit Price</w:t>
            </w:r>
          </w:p>
        </w:tc>
        <w:tc>
          <w:tcPr>
            <w:tcW w:w="1017" w:type="dxa"/>
            <w:shd w:val="clear" w:color="auto" w:fill="17365D"/>
            <w:vAlign w:val="center"/>
          </w:tcPr>
          <w:p w14:paraId="14164302" w14:textId="77777777" w:rsidR="0090764F" w:rsidRDefault="00000000">
            <w:r>
              <w:rPr>
                <w:b/>
                <w:color w:val="FFFFFF"/>
                <w:sz w:val="15"/>
              </w:rPr>
              <w:t>Extended Price</w:t>
            </w:r>
          </w:p>
        </w:tc>
      </w:tr>
      <w:tr w:rsidR="0090764F" w14:paraId="255E430F" w14:textId="77777777">
        <w:trPr>
          <w:jc w:val="center"/>
        </w:trPr>
        <w:tc>
          <w:tcPr>
            <w:tcW w:w="1017" w:type="dxa"/>
            <w:vAlign w:val="center"/>
          </w:tcPr>
          <w:p w14:paraId="0FC7ABAB" w14:textId="77777777" w:rsidR="0090764F" w:rsidRDefault="00000000">
            <w:r>
              <w:rPr>
                <w:sz w:val="15"/>
              </w:rPr>
              <w:t>[ ]</w:t>
            </w:r>
          </w:p>
        </w:tc>
        <w:tc>
          <w:tcPr>
            <w:tcW w:w="1017" w:type="dxa"/>
            <w:vAlign w:val="center"/>
          </w:tcPr>
          <w:p w14:paraId="7A1176A4" w14:textId="77777777" w:rsidR="0090764F" w:rsidRDefault="00000000">
            <w:r>
              <w:rPr>
                <w:sz w:val="15"/>
              </w:rPr>
              <w:t>[ ]</w:t>
            </w:r>
          </w:p>
        </w:tc>
        <w:tc>
          <w:tcPr>
            <w:tcW w:w="1017" w:type="dxa"/>
            <w:vAlign w:val="center"/>
          </w:tcPr>
          <w:p w14:paraId="0B016246" w14:textId="77777777" w:rsidR="0090764F" w:rsidRDefault="00000000">
            <w:r>
              <w:rPr>
                <w:sz w:val="15"/>
              </w:rPr>
              <w:t>[ ]</w:t>
            </w:r>
          </w:p>
        </w:tc>
        <w:tc>
          <w:tcPr>
            <w:tcW w:w="1017" w:type="dxa"/>
            <w:vAlign w:val="center"/>
          </w:tcPr>
          <w:p w14:paraId="4F23D219" w14:textId="77777777" w:rsidR="0090764F" w:rsidRDefault="00000000">
            <w:r>
              <w:rPr>
                <w:sz w:val="15"/>
              </w:rPr>
              <w:t>[ ]</w:t>
            </w:r>
          </w:p>
        </w:tc>
        <w:tc>
          <w:tcPr>
            <w:tcW w:w="1017" w:type="dxa"/>
            <w:vAlign w:val="center"/>
          </w:tcPr>
          <w:p w14:paraId="2C3FEB8A" w14:textId="77777777" w:rsidR="0090764F" w:rsidRDefault="00000000">
            <w:r>
              <w:rPr>
                <w:sz w:val="15"/>
              </w:rPr>
              <w:t>[ ]</w:t>
            </w:r>
          </w:p>
        </w:tc>
        <w:tc>
          <w:tcPr>
            <w:tcW w:w="1017" w:type="dxa"/>
            <w:vAlign w:val="center"/>
          </w:tcPr>
          <w:p w14:paraId="2B3BDA89" w14:textId="77777777" w:rsidR="0090764F" w:rsidRDefault="00000000">
            <w:r>
              <w:rPr>
                <w:sz w:val="15"/>
              </w:rPr>
              <w:t>[ ]</w:t>
            </w:r>
          </w:p>
        </w:tc>
        <w:tc>
          <w:tcPr>
            <w:tcW w:w="1017" w:type="dxa"/>
            <w:vAlign w:val="center"/>
          </w:tcPr>
          <w:p w14:paraId="323B8599" w14:textId="77777777" w:rsidR="0090764F" w:rsidRDefault="00000000">
            <w:r>
              <w:rPr>
                <w:sz w:val="15"/>
              </w:rPr>
              <w:t>[ ]</w:t>
            </w:r>
          </w:p>
        </w:tc>
        <w:tc>
          <w:tcPr>
            <w:tcW w:w="1017" w:type="dxa"/>
            <w:vAlign w:val="center"/>
          </w:tcPr>
          <w:p w14:paraId="30811187" w14:textId="77777777" w:rsidR="0090764F" w:rsidRDefault="00000000">
            <w:r>
              <w:rPr>
                <w:sz w:val="15"/>
              </w:rPr>
              <w:t>[ ]</w:t>
            </w:r>
          </w:p>
        </w:tc>
        <w:tc>
          <w:tcPr>
            <w:tcW w:w="1017" w:type="dxa"/>
            <w:vAlign w:val="center"/>
          </w:tcPr>
          <w:p w14:paraId="628A44CD" w14:textId="77777777" w:rsidR="0090764F" w:rsidRDefault="00000000">
            <w:r>
              <w:rPr>
                <w:sz w:val="15"/>
              </w:rPr>
              <w:t>[ ]</w:t>
            </w:r>
          </w:p>
        </w:tc>
        <w:tc>
          <w:tcPr>
            <w:tcW w:w="1017" w:type="dxa"/>
            <w:vAlign w:val="center"/>
          </w:tcPr>
          <w:p w14:paraId="6D7E67BA" w14:textId="77777777" w:rsidR="0090764F" w:rsidRDefault="00000000">
            <w:r>
              <w:rPr>
                <w:sz w:val="15"/>
              </w:rPr>
              <w:t>[ ]</w:t>
            </w:r>
          </w:p>
        </w:tc>
      </w:tr>
      <w:tr w:rsidR="0090764F" w14:paraId="05827C4B" w14:textId="77777777">
        <w:trPr>
          <w:jc w:val="center"/>
        </w:trPr>
        <w:tc>
          <w:tcPr>
            <w:tcW w:w="1017" w:type="dxa"/>
            <w:vAlign w:val="center"/>
          </w:tcPr>
          <w:p w14:paraId="2C3F4CEC" w14:textId="77777777" w:rsidR="0090764F" w:rsidRDefault="00000000">
            <w:r>
              <w:rPr>
                <w:sz w:val="15"/>
              </w:rPr>
              <w:t>[ ]</w:t>
            </w:r>
          </w:p>
        </w:tc>
        <w:tc>
          <w:tcPr>
            <w:tcW w:w="1017" w:type="dxa"/>
            <w:vAlign w:val="center"/>
          </w:tcPr>
          <w:p w14:paraId="1376D599" w14:textId="77777777" w:rsidR="0090764F" w:rsidRDefault="00000000">
            <w:r>
              <w:rPr>
                <w:sz w:val="15"/>
              </w:rPr>
              <w:t>[ ]</w:t>
            </w:r>
          </w:p>
        </w:tc>
        <w:tc>
          <w:tcPr>
            <w:tcW w:w="1017" w:type="dxa"/>
            <w:vAlign w:val="center"/>
          </w:tcPr>
          <w:p w14:paraId="50ED1C95" w14:textId="77777777" w:rsidR="0090764F" w:rsidRDefault="00000000">
            <w:r>
              <w:rPr>
                <w:sz w:val="15"/>
              </w:rPr>
              <w:t>[ ]</w:t>
            </w:r>
          </w:p>
        </w:tc>
        <w:tc>
          <w:tcPr>
            <w:tcW w:w="1017" w:type="dxa"/>
            <w:vAlign w:val="center"/>
          </w:tcPr>
          <w:p w14:paraId="336E5D57" w14:textId="77777777" w:rsidR="0090764F" w:rsidRDefault="00000000">
            <w:r>
              <w:rPr>
                <w:sz w:val="15"/>
              </w:rPr>
              <w:t>[ ]</w:t>
            </w:r>
          </w:p>
        </w:tc>
        <w:tc>
          <w:tcPr>
            <w:tcW w:w="1017" w:type="dxa"/>
            <w:vAlign w:val="center"/>
          </w:tcPr>
          <w:p w14:paraId="2BFFAAF3" w14:textId="77777777" w:rsidR="0090764F" w:rsidRDefault="00000000">
            <w:r>
              <w:rPr>
                <w:sz w:val="15"/>
              </w:rPr>
              <w:t>[ ]</w:t>
            </w:r>
          </w:p>
        </w:tc>
        <w:tc>
          <w:tcPr>
            <w:tcW w:w="1017" w:type="dxa"/>
            <w:vAlign w:val="center"/>
          </w:tcPr>
          <w:p w14:paraId="0A4DE5AD" w14:textId="77777777" w:rsidR="0090764F" w:rsidRDefault="00000000">
            <w:r>
              <w:rPr>
                <w:sz w:val="15"/>
              </w:rPr>
              <w:t>[ ]</w:t>
            </w:r>
          </w:p>
        </w:tc>
        <w:tc>
          <w:tcPr>
            <w:tcW w:w="1017" w:type="dxa"/>
            <w:vAlign w:val="center"/>
          </w:tcPr>
          <w:p w14:paraId="6970D691" w14:textId="77777777" w:rsidR="0090764F" w:rsidRDefault="00000000">
            <w:r>
              <w:rPr>
                <w:sz w:val="15"/>
              </w:rPr>
              <w:t>[ ]</w:t>
            </w:r>
          </w:p>
        </w:tc>
        <w:tc>
          <w:tcPr>
            <w:tcW w:w="1017" w:type="dxa"/>
            <w:vAlign w:val="center"/>
          </w:tcPr>
          <w:p w14:paraId="28E465C6" w14:textId="77777777" w:rsidR="0090764F" w:rsidRDefault="00000000">
            <w:r>
              <w:rPr>
                <w:sz w:val="15"/>
              </w:rPr>
              <w:t>[ ]</w:t>
            </w:r>
          </w:p>
        </w:tc>
        <w:tc>
          <w:tcPr>
            <w:tcW w:w="1017" w:type="dxa"/>
            <w:vAlign w:val="center"/>
          </w:tcPr>
          <w:p w14:paraId="5D212263" w14:textId="77777777" w:rsidR="0090764F" w:rsidRDefault="00000000">
            <w:r>
              <w:rPr>
                <w:sz w:val="15"/>
              </w:rPr>
              <w:t>[ ]</w:t>
            </w:r>
          </w:p>
        </w:tc>
        <w:tc>
          <w:tcPr>
            <w:tcW w:w="1017" w:type="dxa"/>
            <w:vAlign w:val="center"/>
          </w:tcPr>
          <w:p w14:paraId="5B31186A" w14:textId="77777777" w:rsidR="0090764F" w:rsidRDefault="00000000">
            <w:r>
              <w:rPr>
                <w:sz w:val="15"/>
              </w:rPr>
              <w:t>[ ]</w:t>
            </w:r>
          </w:p>
        </w:tc>
      </w:tr>
      <w:tr w:rsidR="0090764F" w14:paraId="031BC34B" w14:textId="77777777">
        <w:trPr>
          <w:jc w:val="center"/>
        </w:trPr>
        <w:tc>
          <w:tcPr>
            <w:tcW w:w="1017" w:type="dxa"/>
            <w:vAlign w:val="center"/>
          </w:tcPr>
          <w:p w14:paraId="79E6FE4B" w14:textId="77777777" w:rsidR="0090764F" w:rsidRDefault="00000000">
            <w:r>
              <w:rPr>
                <w:sz w:val="15"/>
              </w:rPr>
              <w:t>[ ]</w:t>
            </w:r>
          </w:p>
        </w:tc>
        <w:tc>
          <w:tcPr>
            <w:tcW w:w="1017" w:type="dxa"/>
            <w:vAlign w:val="center"/>
          </w:tcPr>
          <w:p w14:paraId="2DB6742A" w14:textId="77777777" w:rsidR="0090764F" w:rsidRDefault="00000000">
            <w:r>
              <w:rPr>
                <w:sz w:val="15"/>
              </w:rPr>
              <w:t>[ ]</w:t>
            </w:r>
          </w:p>
        </w:tc>
        <w:tc>
          <w:tcPr>
            <w:tcW w:w="1017" w:type="dxa"/>
            <w:vAlign w:val="center"/>
          </w:tcPr>
          <w:p w14:paraId="4B933EE8" w14:textId="77777777" w:rsidR="0090764F" w:rsidRDefault="00000000">
            <w:r>
              <w:rPr>
                <w:sz w:val="15"/>
              </w:rPr>
              <w:t>[ ]</w:t>
            </w:r>
          </w:p>
        </w:tc>
        <w:tc>
          <w:tcPr>
            <w:tcW w:w="1017" w:type="dxa"/>
            <w:vAlign w:val="center"/>
          </w:tcPr>
          <w:p w14:paraId="6AE12757" w14:textId="77777777" w:rsidR="0090764F" w:rsidRDefault="00000000">
            <w:r>
              <w:rPr>
                <w:sz w:val="15"/>
              </w:rPr>
              <w:t>[ ]</w:t>
            </w:r>
          </w:p>
        </w:tc>
        <w:tc>
          <w:tcPr>
            <w:tcW w:w="1017" w:type="dxa"/>
            <w:vAlign w:val="center"/>
          </w:tcPr>
          <w:p w14:paraId="5AAF255F" w14:textId="77777777" w:rsidR="0090764F" w:rsidRDefault="00000000">
            <w:r>
              <w:rPr>
                <w:sz w:val="15"/>
              </w:rPr>
              <w:t>[ ]</w:t>
            </w:r>
          </w:p>
        </w:tc>
        <w:tc>
          <w:tcPr>
            <w:tcW w:w="1017" w:type="dxa"/>
            <w:vAlign w:val="center"/>
          </w:tcPr>
          <w:p w14:paraId="0C399597" w14:textId="77777777" w:rsidR="0090764F" w:rsidRDefault="00000000">
            <w:r>
              <w:rPr>
                <w:sz w:val="15"/>
              </w:rPr>
              <w:t>[ ]</w:t>
            </w:r>
          </w:p>
        </w:tc>
        <w:tc>
          <w:tcPr>
            <w:tcW w:w="1017" w:type="dxa"/>
            <w:vAlign w:val="center"/>
          </w:tcPr>
          <w:p w14:paraId="182C80CC" w14:textId="77777777" w:rsidR="0090764F" w:rsidRDefault="00000000">
            <w:r>
              <w:rPr>
                <w:sz w:val="15"/>
              </w:rPr>
              <w:t>[ ]</w:t>
            </w:r>
          </w:p>
        </w:tc>
        <w:tc>
          <w:tcPr>
            <w:tcW w:w="1017" w:type="dxa"/>
            <w:vAlign w:val="center"/>
          </w:tcPr>
          <w:p w14:paraId="7E55DBC3" w14:textId="77777777" w:rsidR="0090764F" w:rsidRDefault="00000000">
            <w:r>
              <w:rPr>
                <w:sz w:val="15"/>
              </w:rPr>
              <w:t>[ ]</w:t>
            </w:r>
          </w:p>
        </w:tc>
        <w:tc>
          <w:tcPr>
            <w:tcW w:w="1017" w:type="dxa"/>
            <w:vAlign w:val="center"/>
          </w:tcPr>
          <w:p w14:paraId="3EDCB6E2" w14:textId="77777777" w:rsidR="0090764F" w:rsidRDefault="00000000">
            <w:r>
              <w:rPr>
                <w:sz w:val="15"/>
              </w:rPr>
              <w:t>[ ]</w:t>
            </w:r>
          </w:p>
        </w:tc>
        <w:tc>
          <w:tcPr>
            <w:tcW w:w="1017" w:type="dxa"/>
            <w:vAlign w:val="center"/>
          </w:tcPr>
          <w:p w14:paraId="3460DD6F" w14:textId="77777777" w:rsidR="0090764F" w:rsidRDefault="00000000">
            <w:r>
              <w:rPr>
                <w:sz w:val="15"/>
              </w:rPr>
              <w:t>[ ]</w:t>
            </w:r>
          </w:p>
        </w:tc>
      </w:tr>
    </w:tbl>
    <w:p w14:paraId="5B1FD129" w14:textId="77777777" w:rsidR="0090764F" w:rsidRDefault="00000000">
      <w:r>
        <w:t>* Proposed classification only; IOR/broker confirms final entered classification. Attach technical product sheet, quarry/manufacturer statement, finish/process description, sample approval, and container-level packing list.</w:t>
      </w:r>
    </w:p>
    <w:p w14:paraId="6EA80595" w14:textId="77777777" w:rsidR="0090764F" w:rsidRDefault="00000000">
      <w:pPr>
        <w:spacing w:before="100" w:after="80"/>
      </w:pPr>
      <w:r>
        <w:rPr>
          <w:b/>
        </w:rPr>
        <w:t xml:space="preserve">A.1 Totals. </w:t>
      </w:r>
      <w:r>
        <w:t>Base Goods Price: $[ ]. International Freight: $[ ]. Marine Insurance: $[ ]. Included Government Charges: $[ ]. Excluded Government Charges: $[ ]. Destination Charges: $[ ]. Operational Contingency: $[ ]. Sales/Use Tax: $[ ]. Total Contract Value: $[ ].</w:t>
      </w:r>
    </w:p>
    <w:p w14:paraId="3EEB275B" w14:textId="77777777" w:rsidR="0090764F" w:rsidRDefault="00000000">
      <w:pPr>
        <w:spacing w:before="100" w:after="80"/>
      </w:pPr>
      <w:r>
        <w:rPr>
          <w:b/>
        </w:rPr>
        <w:t xml:space="preserve">A.2 Payment Milestones. </w:t>
      </w:r>
      <w:r>
        <w:t>Deposit due: $[ ] by [ ]. Bank instrument required by [ ]. Documentary presentation/payment trigger: [ ]. Final reconciliation due: [ ].</w:t>
      </w:r>
    </w:p>
    <w:p w14:paraId="5E519C35" w14:textId="77777777" w:rsidR="0090764F" w:rsidRDefault="00000000">
      <w:pPr>
        <w:pStyle w:val="Heading1"/>
        <w:pBdr>
          <w:bottom w:val="single" w:sz="12" w:space="1" w:color="17365D"/>
        </w:pBdr>
        <w:spacing w:before="260" w:after="120"/>
      </w:pPr>
      <w:r>
        <w:rPr>
          <w:color w:val="17365D"/>
        </w:rPr>
        <w:t>Exhibit B — Shipment and Import Document Matrix</w:t>
      </w:r>
    </w:p>
    <w:tbl>
      <w:tblPr>
        <w:tblStyle w:val="TableGrid"/>
        <w:tblW w:w="0" w:type="auto"/>
        <w:jc w:val="center"/>
        <w:tblLook w:val="04A0" w:firstRow="1" w:lastRow="0" w:firstColumn="1" w:lastColumn="0" w:noHBand="0" w:noVBand="1"/>
      </w:tblPr>
      <w:tblGrid>
        <w:gridCol w:w="2541"/>
        <w:gridCol w:w="2541"/>
        <w:gridCol w:w="2541"/>
        <w:gridCol w:w="2541"/>
      </w:tblGrid>
      <w:tr w:rsidR="0090764F" w14:paraId="7A8AF16B" w14:textId="77777777">
        <w:trPr>
          <w:jc w:val="center"/>
        </w:trPr>
        <w:tc>
          <w:tcPr>
            <w:tcW w:w="2541" w:type="dxa"/>
            <w:shd w:val="clear" w:color="auto" w:fill="17365D"/>
            <w:vAlign w:val="center"/>
          </w:tcPr>
          <w:p w14:paraId="7BE28866" w14:textId="77777777" w:rsidR="0090764F" w:rsidRDefault="00000000">
            <w:r>
              <w:rPr>
                <w:b/>
                <w:color w:val="FFFFFF"/>
                <w:sz w:val="16"/>
              </w:rPr>
              <w:t>Document</w:t>
            </w:r>
          </w:p>
        </w:tc>
        <w:tc>
          <w:tcPr>
            <w:tcW w:w="2541" w:type="dxa"/>
            <w:shd w:val="clear" w:color="auto" w:fill="17365D"/>
            <w:vAlign w:val="center"/>
          </w:tcPr>
          <w:p w14:paraId="3C97A784" w14:textId="77777777" w:rsidR="0090764F" w:rsidRDefault="00000000">
            <w:r>
              <w:rPr>
                <w:b/>
                <w:color w:val="FFFFFF"/>
                <w:sz w:val="16"/>
              </w:rPr>
              <w:t>Responsible Party</w:t>
            </w:r>
          </w:p>
        </w:tc>
        <w:tc>
          <w:tcPr>
            <w:tcW w:w="2541" w:type="dxa"/>
            <w:shd w:val="clear" w:color="auto" w:fill="17365D"/>
            <w:vAlign w:val="center"/>
          </w:tcPr>
          <w:p w14:paraId="2102538A" w14:textId="77777777" w:rsidR="0090764F" w:rsidRDefault="00000000">
            <w:r>
              <w:rPr>
                <w:b/>
                <w:color w:val="FFFFFF"/>
                <w:sz w:val="16"/>
              </w:rPr>
              <w:t>Timing</w:t>
            </w:r>
          </w:p>
        </w:tc>
        <w:tc>
          <w:tcPr>
            <w:tcW w:w="2541" w:type="dxa"/>
            <w:shd w:val="clear" w:color="auto" w:fill="17365D"/>
            <w:vAlign w:val="center"/>
          </w:tcPr>
          <w:p w14:paraId="714B8DC7" w14:textId="77777777" w:rsidR="0090764F" w:rsidRDefault="00000000">
            <w:r>
              <w:rPr>
                <w:b/>
                <w:color w:val="FFFFFF"/>
                <w:sz w:val="16"/>
              </w:rPr>
              <w:t>Minimum Content</w:t>
            </w:r>
          </w:p>
        </w:tc>
      </w:tr>
      <w:tr w:rsidR="0090764F" w14:paraId="1AC311B6" w14:textId="77777777">
        <w:trPr>
          <w:jc w:val="center"/>
        </w:trPr>
        <w:tc>
          <w:tcPr>
            <w:tcW w:w="2541" w:type="dxa"/>
            <w:vAlign w:val="center"/>
          </w:tcPr>
          <w:p w14:paraId="3F5C85E4" w14:textId="77777777" w:rsidR="0090764F" w:rsidRDefault="00000000">
            <w:r>
              <w:rPr>
                <w:sz w:val="15"/>
              </w:rPr>
              <w:t>Commercial invoice</w:t>
            </w:r>
          </w:p>
        </w:tc>
        <w:tc>
          <w:tcPr>
            <w:tcW w:w="2541" w:type="dxa"/>
            <w:vAlign w:val="center"/>
          </w:tcPr>
          <w:p w14:paraId="5B894495" w14:textId="77777777" w:rsidR="0090764F" w:rsidRDefault="00000000">
            <w:r>
              <w:rPr>
                <w:sz w:val="15"/>
              </w:rPr>
              <w:t>Seller</w:t>
            </w:r>
          </w:p>
        </w:tc>
        <w:tc>
          <w:tcPr>
            <w:tcW w:w="2541" w:type="dxa"/>
            <w:vAlign w:val="center"/>
          </w:tcPr>
          <w:p w14:paraId="3C18F048" w14:textId="77777777" w:rsidR="0090764F" w:rsidRDefault="00000000">
            <w:r>
              <w:rPr>
                <w:sz w:val="15"/>
              </w:rPr>
              <w:t>Before shipment and for entry</w:t>
            </w:r>
          </w:p>
        </w:tc>
        <w:tc>
          <w:tcPr>
            <w:tcW w:w="2541" w:type="dxa"/>
            <w:vAlign w:val="center"/>
          </w:tcPr>
          <w:p w14:paraId="23C6C011" w14:textId="77777777" w:rsidR="0090764F" w:rsidRDefault="00000000">
            <w:r>
              <w:rPr>
                <w:sz w:val="15"/>
              </w:rPr>
              <w:t xml:space="preserve">Line-item description; quantity; price; currency; origin; quarry/manufacturer; buyer/consignee/IOR; terms; </w:t>
            </w:r>
            <w:r>
              <w:rPr>
                <w:sz w:val="15"/>
              </w:rPr>
              <w:lastRenderedPageBreak/>
              <w:t>itemized charges; container references</w:t>
            </w:r>
          </w:p>
        </w:tc>
      </w:tr>
      <w:tr w:rsidR="0090764F" w14:paraId="2A684310" w14:textId="77777777">
        <w:trPr>
          <w:jc w:val="center"/>
        </w:trPr>
        <w:tc>
          <w:tcPr>
            <w:tcW w:w="2541" w:type="dxa"/>
            <w:vAlign w:val="center"/>
          </w:tcPr>
          <w:p w14:paraId="488B3C2C" w14:textId="77777777" w:rsidR="0090764F" w:rsidRDefault="00000000">
            <w:r>
              <w:rPr>
                <w:sz w:val="15"/>
              </w:rPr>
              <w:lastRenderedPageBreak/>
              <w:t>Packing list</w:t>
            </w:r>
          </w:p>
        </w:tc>
        <w:tc>
          <w:tcPr>
            <w:tcW w:w="2541" w:type="dxa"/>
            <w:vAlign w:val="center"/>
          </w:tcPr>
          <w:p w14:paraId="209041A6" w14:textId="77777777" w:rsidR="0090764F" w:rsidRDefault="00000000">
            <w:r>
              <w:rPr>
                <w:sz w:val="15"/>
              </w:rPr>
              <w:t>Seller</w:t>
            </w:r>
          </w:p>
        </w:tc>
        <w:tc>
          <w:tcPr>
            <w:tcW w:w="2541" w:type="dxa"/>
            <w:vAlign w:val="center"/>
          </w:tcPr>
          <w:p w14:paraId="593332BA" w14:textId="77777777" w:rsidR="0090764F" w:rsidRDefault="00000000">
            <w:r>
              <w:rPr>
                <w:sz w:val="15"/>
              </w:rPr>
              <w:t>Before shipment and for entry</w:t>
            </w:r>
          </w:p>
        </w:tc>
        <w:tc>
          <w:tcPr>
            <w:tcW w:w="2541" w:type="dxa"/>
            <w:vAlign w:val="center"/>
          </w:tcPr>
          <w:p w14:paraId="1C2DF6F8" w14:textId="77777777" w:rsidR="0090764F" w:rsidRDefault="00000000">
            <w:r>
              <w:rPr>
                <w:sz w:val="15"/>
              </w:rPr>
              <w:t>Container, seal, crate/bundle/package marks; slab count; dimensions; net/gross weight; square footage</w:t>
            </w:r>
          </w:p>
        </w:tc>
      </w:tr>
      <w:tr w:rsidR="0090764F" w14:paraId="7111BF92" w14:textId="77777777">
        <w:trPr>
          <w:jc w:val="center"/>
        </w:trPr>
        <w:tc>
          <w:tcPr>
            <w:tcW w:w="2541" w:type="dxa"/>
            <w:vAlign w:val="center"/>
          </w:tcPr>
          <w:p w14:paraId="7CE194C6" w14:textId="77777777" w:rsidR="0090764F" w:rsidRDefault="00000000">
            <w:r>
              <w:rPr>
                <w:sz w:val="15"/>
              </w:rPr>
              <w:t>Ocean bill of lading</w:t>
            </w:r>
          </w:p>
        </w:tc>
        <w:tc>
          <w:tcPr>
            <w:tcW w:w="2541" w:type="dxa"/>
            <w:vAlign w:val="center"/>
          </w:tcPr>
          <w:p w14:paraId="75157992" w14:textId="77777777" w:rsidR="0090764F" w:rsidRDefault="00000000">
            <w:r>
              <w:rPr>
                <w:sz w:val="15"/>
              </w:rPr>
              <w:t>Carrier / Seller</w:t>
            </w:r>
          </w:p>
        </w:tc>
        <w:tc>
          <w:tcPr>
            <w:tcW w:w="2541" w:type="dxa"/>
            <w:vAlign w:val="center"/>
          </w:tcPr>
          <w:p w14:paraId="53E5C9CD" w14:textId="77777777" w:rsidR="0090764F" w:rsidRDefault="00000000">
            <w:r>
              <w:rPr>
                <w:sz w:val="15"/>
              </w:rPr>
              <w:t>At shipment</w:t>
            </w:r>
          </w:p>
        </w:tc>
        <w:tc>
          <w:tcPr>
            <w:tcW w:w="2541" w:type="dxa"/>
            <w:vAlign w:val="center"/>
          </w:tcPr>
          <w:p w14:paraId="317BAFBD" w14:textId="77777777" w:rsidR="0090764F" w:rsidRDefault="00000000">
            <w:r>
              <w:rPr>
                <w:sz w:val="15"/>
              </w:rPr>
              <w:t>Clean shipped-on-board; freight-prepaid if required; shipper/consignee/notify party; container/seal numbers</w:t>
            </w:r>
          </w:p>
        </w:tc>
      </w:tr>
      <w:tr w:rsidR="0090764F" w14:paraId="081ED19E" w14:textId="77777777">
        <w:trPr>
          <w:jc w:val="center"/>
        </w:trPr>
        <w:tc>
          <w:tcPr>
            <w:tcW w:w="2541" w:type="dxa"/>
            <w:vAlign w:val="center"/>
          </w:tcPr>
          <w:p w14:paraId="50EF430B" w14:textId="77777777" w:rsidR="0090764F" w:rsidRDefault="00000000">
            <w:r>
              <w:rPr>
                <w:sz w:val="15"/>
              </w:rPr>
              <w:t>Product technical sheet</w:t>
            </w:r>
          </w:p>
        </w:tc>
        <w:tc>
          <w:tcPr>
            <w:tcW w:w="2541" w:type="dxa"/>
            <w:vAlign w:val="center"/>
          </w:tcPr>
          <w:p w14:paraId="05EBD258" w14:textId="77777777" w:rsidR="0090764F" w:rsidRDefault="00000000">
            <w:r>
              <w:rPr>
                <w:sz w:val="15"/>
              </w:rPr>
              <w:t>Seller</w:t>
            </w:r>
          </w:p>
        </w:tc>
        <w:tc>
          <w:tcPr>
            <w:tcW w:w="2541" w:type="dxa"/>
            <w:vAlign w:val="center"/>
          </w:tcPr>
          <w:p w14:paraId="42F1292C" w14:textId="77777777" w:rsidR="0090764F" w:rsidRDefault="00000000">
            <w:r>
              <w:rPr>
                <w:sz w:val="15"/>
              </w:rPr>
              <w:t>Before PO and entry request</w:t>
            </w:r>
          </w:p>
        </w:tc>
        <w:tc>
          <w:tcPr>
            <w:tcW w:w="2541" w:type="dxa"/>
            <w:vAlign w:val="center"/>
          </w:tcPr>
          <w:p w14:paraId="38C56775" w14:textId="77777777" w:rsidR="0090764F" w:rsidRDefault="00000000">
            <w:r>
              <w:rPr>
                <w:sz w:val="15"/>
              </w:rPr>
              <w:t>Geological/commercial name; processing; finish; thickness; dimensions; quarry/manufacturer; origin</w:t>
            </w:r>
          </w:p>
        </w:tc>
      </w:tr>
      <w:tr w:rsidR="0090764F" w14:paraId="09447504" w14:textId="77777777">
        <w:trPr>
          <w:jc w:val="center"/>
        </w:trPr>
        <w:tc>
          <w:tcPr>
            <w:tcW w:w="2541" w:type="dxa"/>
            <w:vAlign w:val="center"/>
          </w:tcPr>
          <w:p w14:paraId="215C5345" w14:textId="77777777" w:rsidR="0090764F" w:rsidRDefault="00000000">
            <w:r>
              <w:rPr>
                <w:sz w:val="15"/>
              </w:rPr>
              <w:t>Origin support</w:t>
            </w:r>
          </w:p>
        </w:tc>
        <w:tc>
          <w:tcPr>
            <w:tcW w:w="2541" w:type="dxa"/>
            <w:vAlign w:val="center"/>
          </w:tcPr>
          <w:p w14:paraId="6DF352BC" w14:textId="77777777" w:rsidR="0090764F" w:rsidRDefault="00000000">
            <w:r>
              <w:rPr>
                <w:sz w:val="15"/>
              </w:rPr>
              <w:t>Seller</w:t>
            </w:r>
          </w:p>
        </w:tc>
        <w:tc>
          <w:tcPr>
            <w:tcW w:w="2541" w:type="dxa"/>
            <w:vAlign w:val="center"/>
          </w:tcPr>
          <w:p w14:paraId="2AB9D9E1" w14:textId="77777777" w:rsidR="0090764F" w:rsidRDefault="00000000">
            <w:r>
              <w:rPr>
                <w:sz w:val="15"/>
              </w:rPr>
              <w:t>Before entry</w:t>
            </w:r>
          </w:p>
        </w:tc>
        <w:tc>
          <w:tcPr>
            <w:tcW w:w="2541" w:type="dxa"/>
            <w:vAlign w:val="center"/>
          </w:tcPr>
          <w:p w14:paraId="36E84FA6" w14:textId="77777777" w:rsidR="0090764F" w:rsidRDefault="00000000">
            <w:r>
              <w:rPr>
                <w:sz w:val="15"/>
              </w:rPr>
              <w:t>Quarry/manufacturer statement and processing/origin facts; no unsupported certificate or preference claim</w:t>
            </w:r>
          </w:p>
        </w:tc>
      </w:tr>
      <w:tr w:rsidR="0090764F" w14:paraId="77F39D6F" w14:textId="77777777">
        <w:trPr>
          <w:jc w:val="center"/>
        </w:trPr>
        <w:tc>
          <w:tcPr>
            <w:tcW w:w="2541" w:type="dxa"/>
            <w:vAlign w:val="center"/>
          </w:tcPr>
          <w:p w14:paraId="2249C889" w14:textId="77777777" w:rsidR="0090764F" w:rsidRDefault="00000000">
            <w:r>
              <w:rPr>
                <w:sz w:val="15"/>
              </w:rPr>
              <w:t>Wood packaging evidence</w:t>
            </w:r>
          </w:p>
        </w:tc>
        <w:tc>
          <w:tcPr>
            <w:tcW w:w="2541" w:type="dxa"/>
            <w:vAlign w:val="center"/>
          </w:tcPr>
          <w:p w14:paraId="039EFE73" w14:textId="77777777" w:rsidR="0090764F" w:rsidRDefault="00000000">
            <w:r>
              <w:rPr>
                <w:sz w:val="15"/>
              </w:rPr>
              <w:t>Seller</w:t>
            </w:r>
          </w:p>
        </w:tc>
        <w:tc>
          <w:tcPr>
            <w:tcW w:w="2541" w:type="dxa"/>
            <w:vAlign w:val="center"/>
          </w:tcPr>
          <w:p w14:paraId="05942A9E" w14:textId="77777777" w:rsidR="0090764F" w:rsidRDefault="00000000">
            <w:r>
              <w:rPr>
                <w:sz w:val="15"/>
              </w:rPr>
              <w:t>Before shipment</w:t>
            </w:r>
          </w:p>
        </w:tc>
        <w:tc>
          <w:tcPr>
            <w:tcW w:w="2541" w:type="dxa"/>
            <w:vAlign w:val="center"/>
          </w:tcPr>
          <w:p w14:paraId="2033A2A7" w14:textId="77777777" w:rsidR="0090764F" w:rsidRDefault="00000000">
            <w:r>
              <w:rPr>
                <w:sz w:val="15"/>
              </w:rPr>
              <w:t>ISPM 15 marks/treatment evidence and photos for each solid-wood packaging type; packaging declaration</w:t>
            </w:r>
          </w:p>
        </w:tc>
      </w:tr>
      <w:tr w:rsidR="0090764F" w14:paraId="78EE6710" w14:textId="77777777">
        <w:trPr>
          <w:jc w:val="center"/>
        </w:trPr>
        <w:tc>
          <w:tcPr>
            <w:tcW w:w="2541" w:type="dxa"/>
            <w:vAlign w:val="center"/>
          </w:tcPr>
          <w:p w14:paraId="57EB9113" w14:textId="77777777" w:rsidR="0090764F" w:rsidRDefault="00000000">
            <w:r>
              <w:rPr>
                <w:sz w:val="15"/>
              </w:rPr>
              <w:t>Inspection report/photos</w:t>
            </w:r>
          </w:p>
        </w:tc>
        <w:tc>
          <w:tcPr>
            <w:tcW w:w="2541" w:type="dxa"/>
            <w:vAlign w:val="center"/>
          </w:tcPr>
          <w:p w14:paraId="03297985" w14:textId="77777777" w:rsidR="0090764F" w:rsidRDefault="00000000">
            <w:r>
              <w:rPr>
                <w:sz w:val="15"/>
              </w:rPr>
              <w:t>Seller / SGS</w:t>
            </w:r>
          </w:p>
        </w:tc>
        <w:tc>
          <w:tcPr>
            <w:tcW w:w="2541" w:type="dxa"/>
            <w:vAlign w:val="center"/>
          </w:tcPr>
          <w:p w14:paraId="6927A134" w14:textId="77777777" w:rsidR="0090764F" w:rsidRDefault="00000000">
            <w:r>
              <w:rPr>
                <w:sz w:val="15"/>
              </w:rPr>
              <w:t>Before shipment</w:t>
            </w:r>
          </w:p>
        </w:tc>
        <w:tc>
          <w:tcPr>
            <w:tcW w:w="2541" w:type="dxa"/>
            <w:vAlign w:val="center"/>
          </w:tcPr>
          <w:p w14:paraId="30604972" w14:textId="77777777" w:rsidR="0090764F" w:rsidRDefault="00000000">
            <w:r>
              <w:rPr>
                <w:sz w:val="15"/>
              </w:rPr>
              <w:t>Count, dimensions, tolerances, packaging, securement, container/seal, loading photos</w:t>
            </w:r>
          </w:p>
        </w:tc>
      </w:tr>
      <w:tr w:rsidR="0090764F" w14:paraId="233C5BF2" w14:textId="77777777">
        <w:trPr>
          <w:jc w:val="center"/>
        </w:trPr>
        <w:tc>
          <w:tcPr>
            <w:tcW w:w="2541" w:type="dxa"/>
            <w:vAlign w:val="center"/>
          </w:tcPr>
          <w:p w14:paraId="6CF4CA0B" w14:textId="77777777" w:rsidR="0090764F" w:rsidRDefault="00000000">
            <w:r>
              <w:rPr>
                <w:sz w:val="15"/>
              </w:rPr>
              <w:t>Verified gross mass and load plan</w:t>
            </w:r>
          </w:p>
        </w:tc>
        <w:tc>
          <w:tcPr>
            <w:tcW w:w="2541" w:type="dxa"/>
            <w:vAlign w:val="center"/>
          </w:tcPr>
          <w:p w14:paraId="05F8044E" w14:textId="77777777" w:rsidR="0090764F" w:rsidRDefault="00000000">
            <w:r>
              <w:rPr>
                <w:sz w:val="15"/>
              </w:rPr>
              <w:t>Seller</w:t>
            </w:r>
          </w:p>
        </w:tc>
        <w:tc>
          <w:tcPr>
            <w:tcW w:w="2541" w:type="dxa"/>
            <w:vAlign w:val="center"/>
          </w:tcPr>
          <w:p w14:paraId="16C9E500" w14:textId="77777777" w:rsidR="0090764F" w:rsidRDefault="00000000">
            <w:r>
              <w:rPr>
                <w:sz w:val="15"/>
              </w:rPr>
              <w:t>Before B/L and drayage</w:t>
            </w:r>
          </w:p>
        </w:tc>
        <w:tc>
          <w:tcPr>
            <w:tcW w:w="2541" w:type="dxa"/>
            <w:vAlign w:val="center"/>
          </w:tcPr>
          <w:p w14:paraId="5A630179" w14:textId="77777777" w:rsidR="0090764F" w:rsidRDefault="00000000">
            <w:r>
              <w:rPr>
                <w:sz w:val="15"/>
              </w:rPr>
              <w:t>Cargo and container weights; center of gravity; package weights; load/securement plan</w:t>
            </w:r>
          </w:p>
        </w:tc>
      </w:tr>
      <w:tr w:rsidR="0090764F" w14:paraId="54DEF402" w14:textId="77777777">
        <w:trPr>
          <w:jc w:val="center"/>
        </w:trPr>
        <w:tc>
          <w:tcPr>
            <w:tcW w:w="2541" w:type="dxa"/>
            <w:vAlign w:val="center"/>
          </w:tcPr>
          <w:p w14:paraId="5DA01659" w14:textId="77777777" w:rsidR="0090764F" w:rsidRDefault="00000000">
            <w:r>
              <w:rPr>
                <w:sz w:val="15"/>
              </w:rPr>
              <w:t>Customs entry records</w:t>
            </w:r>
          </w:p>
        </w:tc>
        <w:tc>
          <w:tcPr>
            <w:tcW w:w="2541" w:type="dxa"/>
            <w:vAlign w:val="center"/>
          </w:tcPr>
          <w:p w14:paraId="61864074" w14:textId="77777777" w:rsidR="0090764F" w:rsidRDefault="00000000">
            <w:r>
              <w:rPr>
                <w:sz w:val="15"/>
              </w:rPr>
              <w:t>Seller as IOR</w:t>
            </w:r>
          </w:p>
        </w:tc>
        <w:tc>
          <w:tcPr>
            <w:tcW w:w="2541" w:type="dxa"/>
            <w:vAlign w:val="center"/>
          </w:tcPr>
          <w:p w14:paraId="76638019" w14:textId="77777777" w:rsidR="0090764F" w:rsidRDefault="00000000">
            <w:r>
              <w:rPr>
                <w:sz w:val="15"/>
              </w:rPr>
              <w:t>After entry</w:t>
            </w:r>
          </w:p>
        </w:tc>
        <w:tc>
          <w:tcPr>
            <w:tcW w:w="2541" w:type="dxa"/>
            <w:vAlign w:val="center"/>
          </w:tcPr>
          <w:p w14:paraId="623636BE" w14:textId="77777777" w:rsidR="0090764F" w:rsidRDefault="00000000">
            <w:r>
              <w:rPr>
                <w:sz w:val="15"/>
              </w:rPr>
              <w:t>Entry summary, duty/fee accounting, broker communications as reasonably needed for reconciliation</w:t>
            </w:r>
          </w:p>
        </w:tc>
      </w:tr>
      <w:tr w:rsidR="0090764F" w14:paraId="5CA037AC" w14:textId="77777777">
        <w:trPr>
          <w:jc w:val="center"/>
        </w:trPr>
        <w:tc>
          <w:tcPr>
            <w:tcW w:w="2541" w:type="dxa"/>
            <w:vAlign w:val="center"/>
          </w:tcPr>
          <w:p w14:paraId="0843DA87" w14:textId="77777777" w:rsidR="0090764F" w:rsidRDefault="00000000">
            <w:r>
              <w:rPr>
                <w:sz w:val="15"/>
              </w:rPr>
              <w:t>Marine insurance certificate</w:t>
            </w:r>
          </w:p>
        </w:tc>
        <w:tc>
          <w:tcPr>
            <w:tcW w:w="2541" w:type="dxa"/>
            <w:vAlign w:val="center"/>
          </w:tcPr>
          <w:p w14:paraId="2E2332CD" w14:textId="77777777" w:rsidR="0090764F" w:rsidRDefault="00000000">
            <w:r>
              <w:rPr>
                <w:sz w:val="15"/>
              </w:rPr>
              <w:t>Seller</w:t>
            </w:r>
          </w:p>
        </w:tc>
        <w:tc>
          <w:tcPr>
            <w:tcW w:w="2541" w:type="dxa"/>
            <w:vAlign w:val="center"/>
          </w:tcPr>
          <w:p w14:paraId="1760C06F" w14:textId="77777777" w:rsidR="0090764F" w:rsidRDefault="00000000">
            <w:r>
              <w:rPr>
                <w:sz w:val="15"/>
              </w:rPr>
              <w:t>Before shipment / presentation</w:t>
            </w:r>
          </w:p>
        </w:tc>
        <w:tc>
          <w:tcPr>
            <w:tcW w:w="2541" w:type="dxa"/>
            <w:vAlign w:val="center"/>
          </w:tcPr>
          <w:p w14:paraId="75C3339E" w14:textId="77777777" w:rsidR="0090764F" w:rsidRDefault="00000000">
            <w:r>
              <w:rPr>
                <w:sz w:val="15"/>
              </w:rPr>
              <w:t>CIF-required insurance terms and claim contact</w:t>
            </w:r>
          </w:p>
        </w:tc>
      </w:tr>
    </w:tbl>
    <w:p w14:paraId="0984A452" w14:textId="77777777" w:rsidR="0090764F" w:rsidRDefault="00000000">
      <w:pPr>
        <w:pStyle w:val="Heading1"/>
        <w:pBdr>
          <w:bottom w:val="single" w:sz="12" w:space="1" w:color="17365D"/>
        </w:pBdr>
        <w:spacing w:before="260" w:after="120"/>
      </w:pPr>
      <w:r>
        <w:rPr>
          <w:color w:val="17365D"/>
        </w:rPr>
        <w:t>Exhibit C — Quality, Packing, and Acceptance Specifications</w:t>
      </w:r>
    </w:p>
    <w:p w14:paraId="40A0814E" w14:textId="77777777" w:rsidR="0090764F" w:rsidRDefault="00000000">
      <w:pPr>
        <w:pStyle w:val="ListBullet"/>
        <w:spacing w:after="60"/>
      </w:pPr>
      <w:r>
        <w:t>Goods must conform to the approved sample, SKU/product data sheet, color/veining range, thickness, finish, dimensional tolerance, quantity, and packing requirements stated in the PO.</w:t>
      </w:r>
    </w:p>
    <w:p w14:paraId="688D6AEB" w14:textId="77777777" w:rsidR="0090764F" w:rsidRDefault="00000000">
      <w:pPr>
        <w:pStyle w:val="ListBullet"/>
        <w:spacing w:after="60"/>
      </w:pPr>
      <w:r>
        <w:t>Unless the PO provides another tolerance, slab thickness is 20 mm ± 1 mm. The PO must state any allowable dimensional tolerances, natural fissure/repair policy, resin/mesh backing policy, and permitted fill/repair material.</w:t>
      </w:r>
    </w:p>
    <w:p w14:paraId="144BB48E" w14:textId="77777777" w:rsidR="0090764F" w:rsidRDefault="00000000">
      <w:pPr>
        <w:pStyle w:val="ListBullet"/>
        <w:spacing w:after="60"/>
      </w:pPr>
      <w:r>
        <w:t>Crates and A-frames must be structurally suitable for ocean and inland transport, properly blocked/braced, marked to match the packing list, and loaded with weight distribution appropriate for the container and planned chassis movement.</w:t>
      </w:r>
    </w:p>
    <w:p w14:paraId="375A76BD" w14:textId="77777777" w:rsidR="0090764F" w:rsidRDefault="00000000">
      <w:pPr>
        <w:pStyle w:val="ListBullet"/>
        <w:spacing w:after="60"/>
      </w:pPr>
      <w:r>
        <w:t>Any solid-wood packaging must meet the requirements in Section 5.4. Seller is responsible for corrective measures and resulting costs where noncompliant wood packaging is supplied by Seller.</w:t>
      </w:r>
    </w:p>
    <w:p w14:paraId="248A119F" w14:textId="77777777" w:rsidR="0090764F" w:rsidRDefault="00000000">
      <w:pPr>
        <w:pStyle w:val="ListBullet"/>
        <w:spacing w:after="60"/>
      </w:pPr>
      <w:r>
        <w:t>The PO may require SGS or equivalent inspection and loading photographs. Buyer may waive a report in writing; a waiver does not waive Seller’s product, packaging, marking, or documentation obligations.</w:t>
      </w:r>
    </w:p>
    <w:p w14:paraId="5FD2B5E2" w14:textId="77777777" w:rsidR="0090764F" w:rsidRDefault="00000000">
      <w:pPr>
        <w:pStyle w:val="Heading1"/>
        <w:pBdr>
          <w:bottom w:val="single" w:sz="12" w:space="1" w:color="17365D"/>
        </w:pBdr>
        <w:spacing w:before="260" w:after="120"/>
      </w:pPr>
      <w:r>
        <w:rPr>
          <w:color w:val="17365D"/>
        </w:rPr>
        <w:t>Signatures</w:t>
      </w:r>
    </w:p>
    <w:p w14:paraId="319896FD" w14:textId="77777777" w:rsidR="0090764F" w:rsidRDefault="00000000">
      <w:r>
        <w:t>The undersigned authorized representatives agree to this Agreement, including the stated IOR scenario and all Exhibits.</w:t>
      </w:r>
    </w:p>
    <w:tbl>
      <w:tblPr>
        <w:tblStyle w:val="TableGrid"/>
        <w:tblW w:w="0" w:type="auto"/>
        <w:jc w:val="center"/>
        <w:tblLook w:val="04A0" w:firstRow="1" w:lastRow="0" w:firstColumn="1" w:lastColumn="0" w:noHBand="0" w:noVBand="1"/>
      </w:tblPr>
      <w:tblGrid>
        <w:gridCol w:w="5083"/>
        <w:gridCol w:w="5083"/>
      </w:tblGrid>
      <w:tr w:rsidR="0090764F" w14:paraId="11D0819F" w14:textId="77777777">
        <w:trPr>
          <w:jc w:val="center"/>
        </w:trPr>
        <w:tc>
          <w:tcPr>
            <w:tcW w:w="5083" w:type="dxa"/>
            <w:shd w:val="clear" w:color="auto" w:fill="EAF0F7"/>
            <w:vAlign w:val="center"/>
          </w:tcPr>
          <w:p w14:paraId="45E5335D" w14:textId="77777777" w:rsidR="0090764F" w:rsidRDefault="00000000">
            <w:r>
              <w:rPr>
                <w:b/>
                <w:color w:val="17365D"/>
                <w:sz w:val="18"/>
              </w:rPr>
              <w:t>SELLER</w:t>
            </w:r>
          </w:p>
        </w:tc>
        <w:tc>
          <w:tcPr>
            <w:tcW w:w="5083" w:type="dxa"/>
            <w:shd w:val="clear" w:color="auto" w:fill="EAF0F7"/>
            <w:vAlign w:val="center"/>
          </w:tcPr>
          <w:p w14:paraId="04F04D42" w14:textId="77777777" w:rsidR="0090764F" w:rsidRDefault="00000000">
            <w:r>
              <w:rPr>
                <w:b/>
                <w:color w:val="17365D"/>
                <w:sz w:val="18"/>
              </w:rPr>
              <w:t>BUYER</w:t>
            </w:r>
          </w:p>
        </w:tc>
      </w:tr>
      <w:tr w:rsidR="0090764F" w14:paraId="12B0A5B9" w14:textId="77777777">
        <w:trPr>
          <w:jc w:val="center"/>
        </w:trPr>
        <w:tc>
          <w:tcPr>
            <w:tcW w:w="5083" w:type="dxa"/>
            <w:vAlign w:val="center"/>
          </w:tcPr>
          <w:p w14:paraId="07095D6C" w14:textId="77777777" w:rsidR="0090764F" w:rsidRDefault="00000000">
            <w:r>
              <w:rPr>
                <w:sz w:val="18"/>
              </w:rPr>
              <w:t>ETO IBS LLC d/b/a Stonegate International</w:t>
            </w:r>
          </w:p>
        </w:tc>
        <w:tc>
          <w:tcPr>
            <w:tcW w:w="5083" w:type="dxa"/>
            <w:vAlign w:val="center"/>
          </w:tcPr>
          <w:p w14:paraId="0D51B59B" w14:textId="77777777" w:rsidR="0090764F" w:rsidRDefault="00000000">
            <w:r>
              <w:rPr>
                <w:sz w:val="18"/>
              </w:rPr>
              <w:t>[Buyer legal name]</w:t>
            </w:r>
          </w:p>
        </w:tc>
      </w:tr>
      <w:tr w:rsidR="0090764F" w14:paraId="28C6C4FE" w14:textId="77777777">
        <w:trPr>
          <w:jc w:val="center"/>
        </w:trPr>
        <w:tc>
          <w:tcPr>
            <w:tcW w:w="5083" w:type="dxa"/>
            <w:vAlign w:val="center"/>
          </w:tcPr>
          <w:p w14:paraId="1DD25658" w14:textId="77777777" w:rsidR="0090764F" w:rsidRDefault="00000000">
            <w:r>
              <w:rPr>
                <w:sz w:val="18"/>
              </w:rPr>
              <w:t>By: ______________________________</w:t>
            </w:r>
          </w:p>
        </w:tc>
        <w:tc>
          <w:tcPr>
            <w:tcW w:w="5083" w:type="dxa"/>
            <w:vAlign w:val="center"/>
          </w:tcPr>
          <w:p w14:paraId="294720EC" w14:textId="77777777" w:rsidR="0090764F" w:rsidRDefault="00000000">
            <w:r>
              <w:rPr>
                <w:sz w:val="18"/>
              </w:rPr>
              <w:t>By: ______________________________</w:t>
            </w:r>
          </w:p>
        </w:tc>
      </w:tr>
      <w:tr w:rsidR="0090764F" w14:paraId="5AB59742" w14:textId="77777777">
        <w:trPr>
          <w:jc w:val="center"/>
        </w:trPr>
        <w:tc>
          <w:tcPr>
            <w:tcW w:w="5083" w:type="dxa"/>
            <w:vAlign w:val="center"/>
          </w:tcPr>
          <w:p w14:paraId="6C801425" w14:textId="77777777" w:rsidR="0090764F" w:rsidRDefault="00000000">
            <w:r>
              <w:rPr>
                <w:sz w:val="18"/>
              </w:rPr>
              <w:t>Name / Title: _____________________</w:t>
            </w:r>
          </w:p>
        </w:tc>
        <w:tc>
          <w:tcPr>
            <w:tcW w:w="5083" w:type="dxa"/>
            <w:vAlign w:val="center"/>
          </w:tcPr>
          <w:p w14:paraId="0891C169" w14:textId="77777777" w:rsidR="0090764F" w:rsidRDefault="00000000">
            <w:r>
              <w:rPr>
                <w:sz w:val="18"/>
              </w:rPr>
              <w:t>Name / Title: _____________________</w:t>
            </w:r>
          </w:p>
        </w:tc>
      </w:tr>
      <w:tr w:rsidR="0090764F" w14:paraId="20F6AF80" w14:textId="77777777">
        <w:trPr>
          <w:jc w:val="center"/>
        </w:trPr>
        <w:tc>
          <w:tcPr>
            <w:tcW w:w="5083" w:type="dxa"/>
            <w:vAlign w:val="center"/>
          </w:tcPr>
          <w:p w14:paraId="0378AF13" w14:textId="77777777" w:rsidR="0090764F" w:rsidRDefault="00000000">
            <w:r>
              <w:rPr>
                <w:sz w:val="18"/>
              </w:rPr>
              <w:t>Date: ____________________________</w:t>
            </w:r>
          </w:p>
        </w:tc>
        <w:tc>
          <w:tcPr>
            <w:tcW w:w="5083" w:type="dxa"/>
            <w:vAlign w:val="center"/>
          </w:tcPr>
          <w:p w14:paraId="47E11530" w14:textId="77777777" w:rsidR="0090764F" w:rsidRDefault="00000000">
            <w:r>
              <w:rPr>
                <w:sz w:val="18"/>
              </w:rPr>
              <w:t>Date: ____________________________</w:t>
            </w:r>
          </w:p>
        </w:tc>
      </w:tr>
    </w:tbl>
    <w:p w14:paraId="32B78BE8" w14:textId="77777777" w:rsidR="00A9645E" w:rsidRDefault="00A9645E"/>
    <w:sectPr w:rsidR="00A9645E" w:rsidSect="00034616">
      <w:headerReference w:type="default" r:id="rId8"/>
      <w:footerReference w:type="default" r:id="rId9"/>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52080" w14:textId="77777777" w:rsidR="00A9645E" w:rsidRDefault="00A9645E">
      <w:pPr>
        <w:spacing w:after="0" w:line="240" w:lineRule="auto"/>
      </w:pPr>
      <w:r>
        <w:separator/>
      </w:r>
    </w:p>
  </w:endnote>
  <w:endnote w:type="continuationSeparator" w:id="0">
    <w:p w14:paraId="75C03F78" w14:textId="77777777" w:rsidR="00A9645E" w:rsidRDefault="00A96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0C5B" w14:textId="77777777" w:rsidR="0090764F" w:rsidRDefault="00000000">
    <w:pPr>
      <w:pStyle w:val="Footer"/>
      <w:jc w:val="center"/>
    </w:pPr>
    <w:r>
      <w:rPr>
        <w:color w:val="666666"/>
        <w:sz w:val="15"/>
      </w:rPr>
      <w:t xml:space="preserve">Master Sale and Purchase Agreement | Imported Natural Stone | </w:t>
    </w:r>
    <w:r>
      <w:fldChar w:fldCharType="begin"/>
    </w:r>
    <w:r>
      <w:instrText>PAGE</w:instrText>
    </w:r>
    <w:r>
      <w:fldChar w:fldCharType="separate"/>
    </w:r>
    <w:r w:rsidR="006F477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93395" w14:textId="77777777" w:rsidR="00A9645E" w:rsidRDefault="00A9645E">
      <w:pPr>
        <w:spacing w:after="0" w:line="240" w:lineRule="auto"/>
      </w:pPr>
      <w:r>
        <w:separator/>
      </w:r>
    </w:p>
  </w:footnote>
  <w:footnote w:type="continuationSeparator" w:id="0">
    <w:p w14:paraId="296D7687" w14:textId="77777777" w:rsidR="00A9645E" w:rsidRDefault="00A96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F741" w14:textId="77777777" w:rsidR="0090764F" w:rsidRDefault="00000000">
    <w:pPr>
      <w:pStyle w:val="Header"/>
      <w:jc w:val="right"/>
    </w:pPr>
    <w:r>
      <w:rPr>
        <w:color w:val="666666"/>
        <w:sz w:val="15"/>
      </w:rPr>
      <w:t>CONFIDENTIAL DRAFT — FOR LEGAL AND CUSTOMS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8767317">
    <w:abstractNumId w:val="8"/>
  </w:num>
  <w:num w:numId="2" w16cid:durableId="1581064255">
    <w:abstractNumId w:val="6"/>
  </w:num>
  <w:num w:numId="3" w16cid:durableId="1772508803">
    <w:abstractNumId w:val="5"/>
  </w:num>
  <w:num w:numId="4" w16cid:durableId="1933590637">
    <w:abstractNumId w:val="4"/>
  </w:num>
  <w:num w:numId="5" w16cid:durableId="935013628">
    <w:abstractNumId w:val="7"/>
  </w:num>
  <w:num w:numId="6" w16cid:durableId="903297712">
    <w:abstractNumId w:val="3"/>
  </w:num>
  <w:num w:numId="7" w16cid:durableId="210069853">
    <w:abstractNumId w:val="2"/>
  </w:num>
  <w:num w:numId="8" w16cid:durableId="673652141">
    <w:abstractNumId w:val="1"/>
  </w:num>
  <w:num w:numId="9" w16cid:durableId="860976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488A"/>
    <w:rsid w:val="0029639D"/>
    <w:rsid w:val="00326F90"/>
    <w:rsid w:val="006F4778"/>
    <w:rsid w:val="007705B4"/>
    <w:rsid w:val="0090764F"/>
    <w:rsid w:val="00A9645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D03072"/>
  <w14:defaultImageDpi w14:val="300"/>
  <w15:docId w15:val="{49359BBF-BC8F-4D38-A8C1-D717528FA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4170</Words>
  <Characters>23774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Gocha Gusharashvili</cp:lastModifiedBy>
  <cp:revision>3</cp:revision>
  <dcterms:created xsi:type="dcterms:W3CDTF">2013-12-23T23:15:00Z</dcterms:created>
  <dcterms:modified xsi:type="dcterms:W3CDTF">2026-09-01T15:06:00Z</dcterms:modified>
  <cp:category/>
</cp:coreProperties>
</file>